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B5" w14:textId="3157C108" w:rsidR="00542041" w:rsidRPr="00542041" w:rsidRDefault="00542041" w:rsidP="00542041">
      <w:pPr>
        <w:ind w:right="34"/>
        <w:jc w:val="center"/>
        <w:rPr>
          <w:b/>
          <w:bCs/>
          <w:sz w:val="27"/>
          <w:szCs w:val="27"/>
        </w:rPr>
      </w:pPr>
      <w:r w:rsidRPr="001B6850">
        <w:rPr>
          <w:b/>
          <w:bCs/>
          <w:sz w:val="27"/>
          <w:szCs w:val="27"/>
        </w:rPr>
        <w:t>Обзор текущей ситуации в области долевого строительства</w:t>
      </w:r>
      <w:r>
        <w:rPr>
          <w:b/>
          <w:bCs/>
          <w:sz w:val="27"/>
          <w:szCs w:val="27"/>
        </w:rPr>
        <w:t xml:space="preserve"> </w:t>
      </w:r>
      <w:r w:rsidRPr="001B6850">
        <w:rPr>
          <w:b/>
          <w:bCs/>
          <w:sz w:val="27"/>
          <w:szCs w:val="27"/>
        </w:rPr>
        <w:t>многоквартирных домов и</w:t>
      </w:r>
      <w:r w:rsidR="00EE35AE">
        <w:rPr>
          <w:b/>
          <w:bCs/>
          <w:sz w:val="27"/>
          <w:szCs w:val="27"/>
        </w:rPr>
        <w:t xml:space="preserve"> </w:t>
      </w:r>
      <w:r w:rsidRPr="001B6850">
        <w:rPr>
          <w:b/>
          <w:bCs/>
          <w:sz w:val="27"/>
          <w:szCs w:val="27"/>
        </w:rPr>
        <w:t>иных объектов недвижимости</w:t>
      </w:r>
      <w:r>
        <w:rPr>
          <w:b/>
          <w:bCs/>
          <w:sz w:val="27"/>
          <w:szCs w:val="27"/>
        </w:rPr>
        <w:br/>
      </w:r>
      <w:r w:rsidRPr="00542041">
        <w:rPr>
          <w:b/>
          <w:bCs/>
          <w:sz w:val="27"/>
          <w:szCs w:val="27"/>
        </w:rPr>
        <w:t>по итогам февраля 2024 г.</w:t>
      </w:r>
    </w:p>
    <w:p w14:paraId="795B528D" w14:textId="77777777" w:rsidR="00542041" w:rsidRPr="00542041" w:rsidRDefault="00542041" w:rsidP="00542041">
      <w:pPr>
        <w:pStyle w:val="af0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6E0AFC7" w14:textId="17D760F1" w:rsidR="00965660" w:rsidRDefault="003E102D" w:rsidP="008158E5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мониторинге ситуации в Красноярском крае</w:t>
      </w:r>
      <w:r w:rsidR="00EE35A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области долевого строительства многоквартирных домов и иных объектов недвижимости, </w:t>
      </w:r>
      <w:r w:rsidR="000C24DD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результатам 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анализа информации, размещенной застройщиками в проектных декларациях в Единой информационной системе жилищного строительства</w:t>
      </w:r>
      <w:r w:rsidR="00052C63"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(далее – ЕИСЖС)</w:t>
      </w:r>
      <w:r w:rsidRPr="007D42C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811D27" w:rsidRPr="007D42C6">
        <w:rPr>
          <w:rFonts w:ascii="Times New Roman" w:hAnsi="Times New Roman" w:cs="Times New Roman"/>
          <w:sz w:val="27"/>
          <w:szCs w:val="27"/>
        </w:rPr>
        <w:t>п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о </w:t>
      </w:r>
      <w:r w:rsidR="001F66CC">
        <w:rPr>
          <w:rFonts w:ascii="Times New Roman" w:hAnsi="Times New Roman" w:cs="Times New Roman"/>
          <w:sz w:val="27"/>
          <w:szCs w:val="27"/>
        </w:rPr>
        <w:t xml:space="preserve">итогам </w:t>
      </w:r>
      <w:r w:rsidR="005F099E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="001F66CC">
        <w:rPr>
          <w:rFonts w:ascii="Times New Roman" w:hAnsi="Times New Roman" w:cs="Times New Roman"/>
          <w:sz w:val="27"/>
          <w:szCs w:val="27"/>
        </w:rPr>
        <w:t>202</w:t>
      </w:r>
      <w:r w:rsidR="001F333E">
        <w:rPr>
          <w:rFonts w:ascii="Times New Roman" w:hAnsi="Times New Roman" w:cs="Times New Roman"/>
          <w:sz w:val="27"/>
          <w:szCs w:val="27"/>
        </w:rPr>
        <w:t>4</w:t>
      </w:r>
      <w:r w:rsidR="007E0F0D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г. </w:t>
      </w:r>
      <w:r w:rsidR="00F76FA2" w:rsidRPr="007D42C6">
        <w:rPr>
          <w:rFonts w:ascii="Times New Roman" w:hAnsi="Times New Roman" w:cs="Times New Roman"/>
          <w:sz w:val="27"/>
          <w:szCs w:val="27"/>
        </w:rPr>
        <w:t xml:space="preserve">с привлечением денежных средств участников долевого строительства на территории края </w:t>
      </w:r>
      <w:r w:rsidR="001F66CC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094BDC" w:rsidRPr="007D42C6">
        <w:rPr>
          <w:rFonts w:ascii="Times New Roman" w:hAnsi="Times New Roman" w:cs="Times New Roman"/>
          <w:sz w:val="27"/>
          <w:szCs w:val="27"/>
        </w:rPr>
        <w:t>строительство</w:t>
      </w:r>
      <w:r w:rsidR="001F66CC">
        <w:rPr>
          <w:rFonts w:ascii="Times New Roman" w:hAnsi="Times New Roman" w:cs="Times New Roman"/>
          <w:sz w:val="27"/>
          <w:szCs w:val="27"/>
        </w:rPr>
        <w:t xml:space="preserve"> 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5973AF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1F333E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960A26" w:rsidRPr="00960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60A26">
        <w:rPr>
          <w:rFonts w:ascii="Times New Roman" w:hAnsi="Times New Roman" w:cs="Times New Roman"/>
          <w:sz w:val="27"/>
          <w:szCs w:val="27"/>
        </w:rPr>
        <w:t>объект</w:t>
      </w:r>
      <w:r w:rsidR="001F333E">
        <w:rPr>
          <w:rFonts w:ascii="Times New Roman" w:hAnsi="Times New Roman" w:cs="Times New Roman"/>
          <w:sz w:val="27"/>
          <w:szCs w:val="27"/>
        </w:rPr>
        <w:t>а</w:t>
      </w:r>
      <w:r w:rsidR="00960A26">
        <w:rPr>
          <w:rFonts w:ascii="Times New Roman" w:hAnsi="Times New Roman" w:cs="Times New Roman"/>
          <w:sz w:val="27"/>
          <w:szCs w:val="27"/>
        </w:rPr>
        <w:t>,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включая </w:t>
      </w:r>
      <w:r w:rsidR="008B1FE8">
        <w:rPr>
          <w:rFonts w:ascii="Times New Roman" w:hAnsi="Times New Roman" w:cs="Times New Roman"/>
          <w:sz w:val="27"/>
          <w:szCs w:val="27"/>
        </w:rPr>
        <w:t>1</w:t>
      </w:r>
      <w:r w:rsidR="005973AF">
        <w:rPr>
          <w:rFonts w:ascii="Times New Roman" w:hAnsi="Times New Roman" w:cs="Times New Roman"/>
          <w:sz w:val="27"/>
          <w:szCs w:val="27"/>
        </w:rPr>
        <w:t>1</w:t>
      </w:r>
      <w:r w:rsidR="001F66CC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8B1FE8">
        <w:rPr>
          <w:rFonts w:ascii="Times New Roman" w:hAnsi="Times New Roman" w:cs="Times New Roman"/>
          <w:sz w:val="27"/>
          <w:szCs w:val="27"/>
        </w:rPr>
        <w:t>ов</w:t>
      </w:r>
      <w:r w:rsidR="001F66CC">
        <w:rPr>
          <w:rFonts w:ascii="Times New Roman" w:hAnsi="Times New Roman" w:cs="Times New Roman"/>
          <w:sz w:val="27"/>
          <w:szCs w:val="27"/>
        </w:rPr>
        <w:t xml:space="preserve"> нежилого назначения </w:t>
      </w:r>
      <w:r w:rsidR="00EC2EEF">
        <w:rPr>
          <w:rFonts w:ascii="Times New Roman" w:hAnsi="Times New Roman" w:cs="Times New Roman"/>
          <w:sz w:val="27"/>
          <w:szCs w:val="27"/>
        </w:rPr>
        <w:t>(</w:t>
      </w:r>
      <w:r w:rsidR="00D55EE5">
        <w:rPr>
          <w:rFonts w:ascii="Times New Roman" w:hAnsi="Times New Roman" w:cs="Times New Roman"/>
          <w:sz w:val="27"/>
          <w:szCs w:val="27"/>
        </w:rPr>
        <w:t xml:space="preserve">автостоянки, </w:t>
      </w:r>
      <w:r w:rsidR="00EC2EEF">
        <w:rPr>
          <w:rFonts w:ascii="Times New Roman" w:hAnsi="Times New Roman" w:cs="Times New Roman"/>
          <w:sz w:val="27"/>
          <w:szCs w:val="27"/>
        </w:rPr>
        <w:t>апарта</w:t>
      </w:r>
      <w:r w:rsidR="001F333E">
        <w:rPr>
          <w:rFonts w:ascii="Times New Roman" w:hAnsi="Times New Roman" w:cs="Times New Roman"/>
          <w:sz w:val="27"/>
          <w:szCs w:val="27"/>
        </w:rPr>
        <w:t>менты, офисные здания</w:t>
      </w:r>
      <w:r w:rsidR="00EC2EEF">
        <w:rPr>
          <w:rFonts w:ascii="Times New Roman" w:hAnsi="Times New Roman" w:cs="Times New Roman"/>
          <w:sz w:val="27"/>
          <w:szCs w:val="27"/>
        </w:rPr>
        <w:t xml:space="preserve">) </w:t>
      </w:r>
      <w:r w:rsidR="001F66CC">
        <w:rPr>
          <w:rFonts w:ascii="Times New Roman" w:hAnsi="Times New Roman" w:cs="Times New Roman"/>
          <w:sz w:val="27"/>
          <w:szCs w:val="27"/>
        </w:rPr>
        <w:t xml:space="preserve">и </w:t>
      </w:r>
      <w:r w:rsidR="001F66CC" w:rsidRPr="006E5D3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8B1FE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5973AF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1F66CC">
        <w:rPr>
          <w:rFonts w:ascii="Times New Roman" w:hAnsi="Times New Roman" w:cs="Times New Roman"/>
          <w:sz w:val="27"/>
          <w:szCs w:val="27"/>
        </w:rPr>
        <w:t xml:space="preserve"> многоквартирны</w:t>
      </w:r>
      <w:r w:rsidR="00B6532B">
        <w:rPr>
          <w:rFonts w:ascii="Times New Roman" w:hAnsi="Times New Roman" w:cs="Times New Roman"/>
          <w:sz w:val="27"/>
          <w:szCs w:val="27"/>
        </w:rPr>
        <w:t>х</w:t>
      </w:r>
      <w:r w:rsidR="001F66CC">
        <w:rPr>
          <w:rFonts w:ascii="Times New Roman" w:hAnsi="Times New Roman" w:cs="Times New Roman"/>
          <w:sz w:val="27"/>
          <w:szCs w:val="27"/>
        </w:rPr>
        <w:t xml:space="preserve"> дом</w:t>
      </w:r>
      <w:r w:rsidR="005973AF">
        <w:rPr>
          <w:rFonts w:ascii="Times New Roman" w:hAnsi="Times New Roman" w:cs="Times New Roman"/>
          <w:sz w:val="27"/>
          <w:szCs w:val="27"/>
        </w:rPr>
        <w:t>ов</w:t>
      </w:r>
      <w:r w:rsidR="001F66CC">
        <w:rPr>
          <w:rFonts w:ascii="Times New Roman" w:hAnsi="Times New Roman" w:cs="Times New Roman"/>
          <w:sz w:val="27"/>
          <w:szCs w:val="27"/>
        </w:rPr>
        <w:t xml:space="preserve"> (далее -</w:t>
      </w:r>
      <w:r w:rsidR="00EC2EEF">
        <w:rPr>
          <w:rFonts w:ascii="Times New Roman" w:hAnsi="Times New Roman" w:cs="Times New Roman"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 xml:space="preserve">МКД), общей жилой площадью </w:t>
      </w:r>
      <w:r w:rsidR="00E52023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0459F6">
        <w:rPr>
          <w:rFonts w:ascii="Times New Roman" w:hAnsi="Times New Roman" w:cs="Times New Roman"/>
          <w:b/>
          <w:bCs/>
          <w:sz w:val="27"/>
          <w:szCs w:val="27"/>
        </w:rPr>
        <w:t> 7</w:t>
      </w:r>
      <w:r w:rsidR="005973AF">
        <w:rPr>
          <w:rFonts w:ascii="Times New Roman" w:hAnsi="Times New Roman" w:cs="Times New Roman"/>
          <w:b/>
          <w:bCs/>
          <w:sz w:val="27"/>
          <w:szCs w:val="27"/>
        </w:rPr>
        <w:t>12</w:t>
      </w:r>
      <w:r w:rsidR="000459F6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5973AF">
        <w:rPr>
          <w:rFonts w:ascii="Times New Roman" w:hAnsi="Times New Roman" w:cs="Times New Roman"/>
          <w:b/>
          <w:bCs/>
          <w:sz w:val="27"/>
          <w:szCs w:val="27"/>
        </w:rPr>
        <w:t>871</w:t>
      </w:r>
      <w:r w:rsidR="00DF6CD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F66CC">
        <w:rPr>
          <w:rFonts w:ascii="Times New Roman" w:hAnsi="Times New Roman" w:cs="Times New Roman"/>
          <w:sz w:val="27"/>
          <w:szCs w:val="27"/>
        </w:rPr>
        <w:t>тыс</w:t>
      </w:r>
      <w:r w:rsidR="00106C91">
        <w:rPr>
          <w:rFonts w:ascii="Times New Roman" w:hAnsi="Times New Roman" w:cs="Times New Roman"/>
          <w:sz w:val="27"/>
          <w:szCs w:val="27"/>
        </w:rPr>
        <w:t>.</w:t>
      </w:r>
      <w:r w:rsidR="001F66CC">
        <w:rPr>
          <w:rFonts w:ascii="Times New Roman" w:hAnsi="Times New Roman" w:cs="Times New Roman"/>
          <w:sz w:val="27"/>
          <w:szCs w:val="27"/>
        </w:rPr>
        <w:t xml:space="preserve"> кв.м.</w:t>
      </w:r>
      <w:r w:rsidR="00811D27" w:rsidRPr="007D42C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83BA654" w14:textId="09221093" w:rsidR="00E86868" w:rsidRPr="007D42C6" w:rsidRDefault="005E2AFC" w:rsidP="00494FAE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итогам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5973AF">
        <w:rPr>
          <w:rFonts w:ascii="Times New Roman" w:hAnsi="Times New Roman" w:cs="Times New Roman"/>
          <w:sz w:val="27"/>
          <w:szCs w:val="27"/>
        </w:rPr>
        <w:t>февраля</w:t>
      </w:r>
      <w:r w:rsidR="00494FAE">
        <w:rPr>
          <w:rFonts w:ascii="Times New Roman" w:hAnsi="Times New Roman" w:cs="Times New Roman"/>
          <w:sz w:val="27"/>
          <w:szCs w:val="27"/>
        </w:rPr>
        <w:t xml:space="preserve"> 2024г.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0459F6">
        <w:rPr>
          <w:rFonts w:ascii="Times New Roman" w:hAnsi="Times New Roman" w:cs="Times New Roman"/>
          <w:sz w:val="27"/>
          <w:szCs w:val="27"/>
        </w:rPr>
        <w:t xml:space="preserve">в </w:t>
      </w:r>
      <w:r w:rsidR="006801FE">
        <w:rPr>
          <w:rFonts w:ascii="Times New Roman" w:hAnsi="Times New Roman" w:cs="Times New Roman"/>
          <w:sz w:val="27"/>
          <w:szCs w:val="27"/>
        </w:rPr>
        <w:t>установленном порядке были введены в эксплуатацию</w:t>
      </w:r>
      <w:r w:rsidR="00CF19AD">
        <w:rPr>
          <w:rFonts w:ascii="Times New Roman" w:hAnsi="Times New Roman" w:cs="Times New Roman"/>
          <w:sz w:val="27"/>
          <w:szCs w:val="27"/>
        </w:rPr>
        <w:t xml:space="preserve"> </w:t>
      </w:r>
      <w:r w:rsidR="005973AF">
        <w:rPr>
          <w:rFonts w:ascii="Times New Roman" w:hAnsi="Times New Roman" w:cs="Times New Roman"/>
          <w:sz w:val="27"/>
          <w:szCs w:val="27"/>
        </w:rPr>
        <w:t>3</w:t>
      </w:r>
      <w:r w:rsidR="00CF19AD">
        <w:rPr>
          <w:rFonts w:ascii="Times New Roman" w:hAnsi="Times New Roman" w:cs="Times New Roman"/>
          <w:sz w:val="27"/>
          <w:szCs w:val="27"/>
        </w:rPr>
        <w:t xml:space="preserve"> МКД</w:t>
      </w:r>
      <w:r w:rsidR="00494FAE">
        <w:rPr>
          <w:rFonts w:ascii="Times New Roman" w:hAnsi="Times New Roman" w:cs="Times New Roman"/>
          <w:sz w:val="27"/>
          <w:szCs w:val="27"/>
        </w:rPr>
        <w:t xml:space="preserve"> </w:t>
      </w:r>
      <w:r w:rsidR="00154A15">
        <w:rPr>
          <w:rFonts w:ascii="Times New Roman" w:hAnsi="Times New Roman" w:cs="Times New Roman"/>
          <w:sz w:val="27"/>
          <w:szCs w:val="27"/>
        </w:rPr>
        <w:t>финансирование строительства которых осуществлялось с привлечением денежных средств участников долевого строительства</w:t>
      </w:r>
      <w:r w:rsidR="00494FAE">
        <w:rPr>
          <w:rFonts w:ascii="Times New Roman" w:hAnsi="Times New Roman" w:cs="Times New Roman"/>
          <w:sz w:val="27"/>
          <w:szCs w:val="27"/>
        </w:rPr>
        <w:t xml:space="preserve">, </w:t>
      </w:r>
      <w:r w:rsidR="006801FE">
        <w:rPr>
          <w:rFonts w:ascii="Times New Roman" w:hAnsi="Times New Roman" w:cs="Times New Roman"/>
          <w:sz w:val="27"/>
          <w:szCs w:val="27"/>
        </w:rPr>
        <w:t xml:space="preserve">одновременно </w:t>
      </w:r>
      <w:r w:rsidR="00E86868">
        <w:rPr>
          <w:rFonts w:ascii="Times New Roman" w:hAnsi="Times New Roman" w:cs="Times New Roman"/>
          <w:sz w:val="27"/>
          <w:szCs w:val="27"/>
        </w:rPr>
        <w:t>в</w:t>
      </w:r>
      <w:r w:rsidR="00494FAE">
        <w:rPr>
          <w:rFonts w:ascii="Times New Roman" w:hAnsi="Times New Roman" w:cs="Times New Roman"/>
          <w:sz w:val="27"/>
          <w:szCs w:val="27"/>
        </w:rPr>
        <w:t xml:space="preserve"> </w:t>
      </w:r>
      <w:r w:rsidR="005973AF">
        <w:rPr>
          <w:rFonts w:ascii="Times New Roman" w:hAnsi="Times New Roman" w:cs="Times New Roman"/>
          <w:sz w:val="27"/>
          <w:szCs w:val="27"/>
        </w:rPr>
        <w:t>феврале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r w:rsidR="006801FE">
        <w:rPr>
          <w:rFonts w:ascii="Times New Roman" w:hAnsi="Times New Roman" w:cs="Times New Roman"/>
          <w:sz w:val="27"/>
          <w:szCs w:val="27"/>
        </w:rPr>
        <w:t>застройщиками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6801FE">
        <w:rPr>
          <w:rFonts w:ascii="Times New Roman" w:hAnsi="Times New Roman" w:cs="Times New Roman"/>
          <w:sz w:val="27"/>
          <w:szCs w:val="27"/>
        </w:rPr>
        <w:t>в ЕИСЖС</w:t>
      </w:r>
      <w:r w:rsidR="00DF2AD7">
        <w:rPr>
          <w:rFonts w:ascii="Times New Roman" w:hAnsi="Times New Roman" w:cs="Times New Roman"/>
          <w:sz w:val="27"/>
          <w:szCs w:val="27"/>
        </w:rPr>
        <w:t xml:space="preserve"> были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Hlk122017028"/>
      <w:r w:rsidR="00E86868">
        <w:rPr>
          <w:rFonts w:ascii="Times New Roman" w:hAnsi="Times New Roman" w:cs="Times New Roman"/>
          <w:sz w:val="27"/>
          <w:szCs w:val="27"/>
        </w:rPr>
        <w:t>размещен</w:t>
      </w:r>
      <w:r w:rsidR="00494FAE">
        <w:rPr>
          <w:rFonts w:ascii="Times New Roman" w:hAnsi="Times New Roman" w:cs="Times New Roman"/>
          <w:sz w:val="27"/>
          <w:szCs w:val="27"/>
        </w:rPr>
        <w:t>ы</w:t>
      </w:r>
      <w:r w:rsidR="00E86868">
        <w:rPr>
          <w:rFonts w:ascii="Times New Roman" w:hAnsi="Times New Roman" w:cs="Times New Roman"/>
          <w:sz w:val="27"/>
          <w:szCs w:val="27"/>
        </w:rPr>
        <w:t xml:space="preserve"> </w:t>
      </w:r>
      <w:r w:rsidR="00F770F9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E86868" w:rsidRPr="004A7FD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E86868">
        <w:rPr>
          <w:rFonts w:ascii="Times New Roman" w:hAnsi="Times New Roman" w:cs="Times New Roman"/>
          <w:sz w:val="27"/>
          <w:szCs w:val="27"/>
        </w:rPr>
        <w:t>проектные декларации, на новые объекты строительства</w:t>
      </w:r>
      <w:r w:rsidR="00494FAE">
        <w:rPr>
          <w:rFonts w:ascii="Times New Roman" w:hAnsi="Times New Roman" w:cs="Times New Roman"/>
          <w:sz w:val="27"/>
          <w:szCs w:val="27"/>
        </w:rPr>
        <w:t>.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AD2CE07" w14:textId="43BC4011" w:rsidR="00645D2E" w:rsidRDefault="00F97AE7" w:rsidP="007E6D2C">
      <w:pPr>
        <w:ind w:firstLine="708"/>
        <w:jc w:val="both"/>
        <w:rPr>
          <w:sz w:val="27"/>
          <w:szCs w:val="27"/>
        </w:rPr>
      </w:pPr>
      <w:bookmarkStart w:id="1" w:name="_Hlk122016692"/>
      <w:bookmarkEnd w:id="0"/>
      <w:r>
        <w:rPr>
          <w:sz w:val="27"/>
          <w:szCs w:val="27"/>
        </w:rPr>
        <w:t>Количество действующих (неисполненных) договоров участия в долевом строительстве (далее – ДДУ)</w:t>
      </w:r>
      <w:r w:rsidR="00645D2E">
        <w:rPr>
          <w:sz w:val="27"/>
          <w:szCs w:val="27"/>
        </w:rPr>
        <w:t>, заключенных в отношении жилых помещений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итогам </w:t>
      </w:r>
      <w:r w:rsidR="00F770F9">
        <w:rPr>
          <w:sz w:val="27"/>
          <w:szCs w:val="27"/>
        </w:rPr>
        <w:t>февраля уменьшилось на 2,25% и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>составило</w:t>
      </w:r>
      <w:r w:rsidR="00EE35AE">
        <w:rPr>
          <w:sz w:val="27"/>
          <w:szCs w:val="27"/>
        </w:rPr>
        <w:t xml:space="preserve"> </w:t>
      </w:r>
      <w:r w:rsidR="00F770F9">
        <w:rPr>
          <w:b/>
          <w:bCs/>
          <w:sz w:val="27"/>
          <w:szCs w:val="27"/>
        </w:rPr>
        <w:t>9962</w:t>
      </w:r>
      <w:r>
        <w:rPr>
          <w:b/>
          <w:bCs/>
          <w:sz w:val="27"/>
          <w:szCs w:val="27"/>
        </w:rPr>
        <w:t xml:space="preserve"> </w:t>
      </w:r>
      <w:r w:rsidRPr="00B66339">
        <w:rPr>
          <w:sz w:val="27"/>
          <w:szCs w:val="27"/>
        </w:rPr>
        <w:t>по которым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реализовано </w:t>
      </w:r>
      <w:r w:rsidR="003106B7">
        <w:rPr>
          <w:b/>
          <w:bCs/>
          <w:sz w:val="27"/>
          <w:szCs w:val="27"/>
        </w:rPr>
        <w:t>5</w:t>
      </w:r>
      <w:r w:rsidR="00F770F9">
        <w:rPr>
          <w:b/>
          <w:bCs/>
          <w:sz w:val="27"/>
          <w:szCs w:val="27"/>
        </w:rPr>
        <w:t>70,292</w:t>
      </w:r>
      <w:r w:rsidR="003106B7">
        <w:rPr>
          <w:sz w:val="27"/>
          <w:szCs w:val="27"/>
        </w:rPr>
        <w:t xml:space="preserve"> </w:t>
      </w:r>
      <w:r>
        <w:rPr>
          <w:sz w:val="27"/>
          <w:szCs w:val="27"/>
        </w:rPr>
        <w:t>тыс. кв. м.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Процент реализованной </w:t>
      </w:r>
      <w:r w:rsidR="00645D2E">
        <w:rPr>
          <w:sz w:val="27"/>
          <w:szCs w:val="27"/>
        </w:rPr>
        <w:t>жилой</w:t>
      </w:r>
      <w:r w:rsidR="00F770F9">
        <w:rPr>
          <w:sz w:val="27"/>
          <w:szCs w:val="27"/>
        </w:rPr>
        <w:t xml:space="preserve"> </w:t>
      </w:r>
      <w:r>
        <w:rPr>
          <w:sz w:val="27"/>
          <w:szCs w:val="27"/>
        </w:rPr>
        <w:t>площади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всей запроектированной </w:t>
      </w:r>
      <w:r w:rsidR="00F770F9">
        <w:rPr>
          <w:sz w:val="27"/>
          <w:szCs w:val="27"/>
        </w:rPr>
        <w:t xml:space="preserve">жилой </w:t>
      </w:r>
      <w:r>
        <w:rPr>
          <w:sz w:val="27"/>
          <w:szCs w:val="27"/>
        </w:rPr>
        <w:t>площади в строящихся многоквартирных домах</w:t>
      </w:r>
      <w:r w:rsidR="00356494">
        <w:rPr>
          <w:sz w:val="27"/>
          <w:szCs w:val="27"/>
        </w:rPr>
        <w:t xml:space="preserve">, </w:t>
      </w:r>
      <w:r>
        <w:rPr>
          <w:sz w:val="27"/>
          <w:szCs w:val="27"/>
        </w:rPr>
        <w:t>в зависимости от выхода на рынок новых проектов строительства и убытием в</w:t>
      </w:r>
      <w:r w:rsidR="00494FAE">
        <w:rPr>
          <w:sz w:val="27"/>
          <w:szCs w:val="27"/>
        </w:rPr>
        <w:t>веденных</w:t>
      </w:r>
      <w:r>
        <w:rPr>
          <w:sz w:val="27"/>
          <w:szCs w:val="27"/>
        </w:rPr>
        <w:t xml:space="preserve"> </w:t>
      </w:r>
      <w:r w:rsidR="00494FAE">
        <w:rPr>
          <w:sz w:val="27"/>
          <w:szCs w:val="27"/>
        </w:rPr>
        <w:t xml:space="preserve">объектов </w:t>
      </w:r>
      <w:r>
        <w:rPr>
          <w:sz w:val="27"/>
          <w:szCs w:val="27"/>
        </w:rPr>
        <w:t xml:space="preserve">в эксплуатацию </w:t>
      </w:r>
      <w:r w:rsidR="00356494">
        <w:rPr>
          <w:sz w:val="27"/>
          <w:szCs w:val="27"/>
        </w:rPr>
        <w:t xml:space="preserve">составил </w:t>
      </w:r>
      <w:r w:rsidR="003106B7" w:rsidRPr="003106B7">
        <w:rPr>
          <w:b/>
          <w:bCs/>
          <w:sz w:val="27"/>
          <w:szCs w:val="27"/>
        </w:rPr>
        <w:t>3</w:t>
      </w:r>
      <w:r w:rsidR="00F770F9">
        <w:rPr>
          <w:b/>
          <w:bCs/>
          <w:sz w:val="27"/>
          <w:szCs w:val="27"/>
        </w:rPr>
        <w:t xml:space="preserve">3,3 </w:t>
      </w:r>
      <w:r w:rsidR="00356494">
        <w:rPr>
          <w:sz w:val="27"/>
          <w:szCs w:val="27"/>
        </w:rPr>
        <w:t>% .</w:t>
      </w:r>
      <w:r w:rsidR="00EE35AE">
        <w:rPr>
          <w:sz w:val="27"/>
          <w:szCs w:val="27"/>
        </w:rPr>
        <w:t xml:space="preserve"> </w:t>
      </w:r>
    </w:p>
    <w:p w14:paraId="369E5C84" w14:textId="236D3267" w:rsidR="00F97AE7" w:rsidRDefault="00645D2E" w:rsidP="007E6D2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отношении нежилых помещений</w:t>
      </w:r>
      <w:r w:rsidR="00691D2B">
        <w:rPr>
          <w:sz w:val="27"/>
          <w:szCs w:val="27"/>
        </w:rPr>
        <w:t>, включая машино-места,</w:t>
      </w:r>
      <w:r>
        <w:rPr>
          <w:sz w:val="27"/>
          <w:szCs w:val="27"/>
        </w:rPr>
        <w:t xml:space="preserve"> количество действующих (неисполненных) ДДУ составило </w:t>
      </w:r>
      <w:r w:rsidRPr="00CC13FD">
        <w:rPr>
          <w:b/>
          <w:bCs/>
          <w:sz w:val="27"/>
          <w:szCs w:val="27"/>
        </w:rPr>
        <w:t>1399,</w:t>
      </w:r>
      <w:r>
        <w:rPr>
          <w:sz w:val="27"/>
          <w:szCs w:val="27"/>
        </w:rPr>
        <w:t xml:space="preserve"> общей площадью </w:t>
      </w:r>
      <w:r w:rsidRPr="00CC13FD">
        <w:rPr>
          <w:b/>
          <w:bCs/>
          <w:sz w:val="27"/>
          <w:szCs w:val="27"/>
        </w:rPr>
        <w:t>65,303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тыс.кв.м</w:t>
      </w:r>
      <w:proofErr w:type="spellEnd"/>
      <w:r>
        <w:rPr>
          <w:sz w:val="27"/>
          <w:szCs w:val="27"/>
        </w:rPr>
        <w:t xml:space="preserve">, суммарная цена заключенных ДДУ на нежилые помещения составила </w:t>
      </w:r>
      <w:r w:rsidRPr="00F0174A">
        <w:rPr>
          <w:b/>
          <w:bCs/>
          <w:sz w:val="27"/>
          <w:szCs w:val="27"/>
        </w:rPr>
        <w:t>5 521,244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млн.рублей</w:t>
      </w:r>
      <w:proofErr w:type="spellEnd"/>
      <w:r>
        <w:rPr>
          <w:sz w:val="27"/>
          <w:szCs w:val="27"/>
        </w:rPr>
        <w:t>.</w:t>
      </w:r>
      <w:r w:rsidR="00F0174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Средняя цена </w:t>
      </w:r>
      <w:r w:rsidR="001817DC">
        <w:rPr>
          <w:sz w:val="27"/>
          <w:szCs w:val="27"/>
        </w:rPr>
        <w:t xml:space="preserve">реализации </w:t>
      </w:r>
      <w:r>
        <w:rPr>
          <w:sz w:val="27"/>
          <w:szCs w:val="27"/>
        </w:rPr>
        <w:t>квадратного метра</w:t>
      </w:r>
      <w:r w:rsidR="00EE35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нежилых помещений составила 84,5 </w:t>
      </w:r>
      <w:proofErr w:type="spellStart"/>
      <w:proofErr w:type="gramStart"/>
      <w:r>
        <w:rPr>
          <w:sz w:val="27"/>
          <w:szCs w:val="27"/>
        </w:rPr>
        <w:t>тыс.рублей</w:t>
      </w:r>
      <w:proofErr w:type="spellEnd"/>
      <w:proofErr w:type="gramEnd"/>
      <w:r>
        <w:rPr>
          <w:sz w:val="27"/>
          <w:szCs w:val="27"/>
        </w:rPr>
        <w:t>.</w:t>
      </w:r>
      <w:r w:rsidR="001817DC">
        <w:rPr>
          <w:sz w:val="27"/>
          <w:szCs w:val="27"/>
        </w:rPr>
        <w:t xml:space="preserve"> Учитывая, что суммарная площадь всех запроектированных нежилых помещений составляет </w:t>
      </w:r>
      <w:r w:rsidR="001817DC" w:rsidRPr="00CC13FD">
        <w:rPr>
          <w:b/>
          <w:bCs/>
          <w:sz w:val="27"/>
          <w:szCs w:val="27"/>
        </w:rPr>
        <w:t>271,997</w:t>
      </w:r>
      <w:r w:rsidR="001817DC">
        <w:rPr>
          <w:sz w:val="27"/>
          <w:szCs w:val="27"/>
        </w:rPr>
        <w:t xml:space="preserve"> </w:t>
      </w:r>
      <w:proofErr w:type="spellStart"/>
      <w:r w:rsidR="001817DC">
        <w:rPr>
          <w:sz w:val="27"/>
          <w:szCs w:val="27"/>
        </w:rPr>
        <w:t>тыс.кв.м</w:t>
      </w:r>
      <w:proofErr w:type="spellEnd"/>
      <w:r w:rsidR="001817DC">
        <w:rPr>
          <w:sz w:val="27"/>
          <w:szCs w:val="27"/>
        </w:rPr>
        <w:t>., процент реализованной нежилой площади составил 24%.</w:t>
      </w:r>
    </w:p>
    <w:p w14:paraId="69A98779" w14:textId="6069E438" w:rsidR="00947EBC" w:rsidRDefault="0067555C" w:rsidP="003F387B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Среднее </w:t>
      </w:r>
      <w:r w:rsidR="00364148"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начение площади реализуемых квартир</w:t>
      </w:r>
      <w:r w:rsidR="00154A15">
        <w:rPr>
          <w:rFonts w:ascii="Times New Roman" w:hAnsi="Times New Roman" w:cs="Times New Roman"/>
          <w:sz w:val="27"/>
          <w:szCs w:val="27"/>
        </w:rPr>
        <w:t xml:space="preserve"> по ДДУ</w:t>
      </w:r>
      <w:r w:rsidR="005E42DD">
        <w:rPr>
          <w:rFonts w:ascii="Times New Roman" w:hAnsi="Times New Roman" w:cs="Times New Roman"/>
          <w:sz w:val="27"/>
          <w:szCs w:val="27"/>
        </w:rPr>
        <w:t xml:space="preserve"> </w:t>
      </w:r>
      <w:r w:rsidR="009F6CDE">
        <w:rPr>
          <w:rFonts w:ascii="Times New Roman" w:hAnsi="Times New Roman" w:cs="Times New Roman"/>
          <w:sz w:val="27"/>
          <w:szCs w:val="27"/>
        </w:rPr>
        <w:t xml:space="preserve">в </w:t>
      </w:r>
      <w:r w:rsidR="003F387B">
        <w:rPr>
          <w:rFonts w:ascii="Times New Roman" w:hAnsi="Times New Roman" w:cs="Times New Roman"/>
          <w:sz w:val="27"/>
          <w:szCs w:val="27"/>
        </w:rPr>
        <w:t>феврале</w:t>
      </w:r>
      <w:r w:rsidR="007E6D2C">
        <w:rPr>
          <w:rFonts w:ascii="Times New Roman" w:hAnsi="Times New Roman" w:cs="Times New Roman"/>
          <w:sz w:val="27"/>
          <w:szCs w:val="27"/>
        </w:rPr>
        <w:t xml:space="preserve"> 2024г.</w:t>
      </w:r>
      <w:r w:rsidR="00645D2E">
        <w:rPr>
          <w:rFonts w:ascii="Times New Roman" w:hAnsi="Times New Roman" w:cs="Times New Roman"/>
          <w:sz w:val="27"/>
          <w:szCs w:val="27"/>
        </w:rPr>
        <w:t xml:space="preserve"> немного подросло и</w:t>
      </w:r>
      <w:r w:rsidR="007E6D2C">
        <w:rPr>
          <w:rFonts w:ascii="Times New Roman" w:hAnsi="Times New Roman" w:cs="Times New Roman"/>
          <w:sz w:val="27"/>
          <w:szCs w:val="27"/>
        </w:rPr>
        <w:t xml:space="preserve"> составило </w:t>
      </w:r>
      <w:r w:rsidR="003F387B" w:rsidRPr="00645D2E">
        <w:rPr>
          <w:rFonts w:ascii="Times New Roman" w:hAnsi="Times New Roman" w:cs="Times New Roman"/>
          <w:b/>
          <w:bCs/>
          <w:sz w:val="27"/>
          <w:szCs w:val="27"/>
        </w:rPr>
        <w:t>48</w:t>
      </w:r>
      <w:r w:rsidR="007647AA" w:rsidRPr="00645D2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647AA">
        <w:rPr>
          <w:rFonts w:ascii="Times New Roman" w:hAnsi="Times New Roman" w:cs="Times New Roman"/>
          <w:sz w:val="27"/>
          <w:szCs w:val="27"/>
        </w:rPr>
        <w:t>кв.м.</w:t>
      </w:r>
      <w:r w:rsidR="009F6CDE">
        <w:rPr>
          <w:rFonts w:ascii="Times New Roman" w:hAnsi="Times New Roman" w:cs="Times New Roman"/>
          <w:sz w:val="27"/>
          <w:szCs w:val="27"/>
        </w:rPr>
        <w:t xml:space="preserve">, в </w:t>
      </w:r>
      <w:r w:rsidR="003F387B">
        <w:rPr>
          <w:rFonts w:ascii="Times New Roman" w:hAnsi="Times New Roman" w:cs="Times New Roman"/>
          <w:sz w:val="27"/>
          <w:szCs w:val="27"/>
        </w:rPr>
        <w:t>январе этот показатель составлял 46,5 кв.м.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3F387B">
        <w:rPr>
          <w:rFonts w:ascii="Times New Roman" w:hAnsi="Times New Roman" w:cs="Times New Roman"/>
          <w:sz w:val="27"/>
          <w:szCs w:val="27"/>
        </w:rPr>
        <w:t>П</w:t>
      </w:r>
      <w:r w:rsidR="005E42DD">
        <w:rPr>
          <w:rFonts w:ascii="Times New Roman" w:hAnsi="Times New Roman" w:cs="Times New Roman"/>
          <w:sz w:val="27"/>
          <w:szCs w:val="27"/>
        </w:rPr>
        <w:t xml:space="preserve">о информации ЕРЗ.РФ средняя площадь строящихся квартир в России </w:t>
      </w:r>
      <w:r w:rsidR="00C04789">
        <w:rPr>
          <w:rFonts w:ascii="Times New Roman" w:hAnsi="Times New Roman" w:cs="Times New Roman"/>
          <w:sz w:val="27"/>
          <w:szCs w:val="27"/>
        </w:rPr>
        <w:t>по итогам 2023г.</w:t>
      </w:r>
      <w:r w:rsidR="005E42DD">
        <w:rPr>
          <w:rFonts w:ascii="Times New Roman" w:hAnsi="Times New Roman" w:cs="Times New Roman"/>
          <w:sz w:val="27"/>
          <w:szCs w:val="27"/>
        </w:rPr>
        <w:t xml:space="preserve"> - </w:t>
      </w:r>
      <w:r w:rsidR="005E42DD" w:rsidRPr="00436129">
        <w:rPr>
          <w:rFonts w:ascii="Times New Roman" w:hAnsi="Times New Roman" w:cs="Times New Roman"/>
          <w:sz w:val="27"/>
          <w:szCs w:val="27"/>
        </w:rPr>
        <w:t>49 к</w:t>
      </w:r>
      <w:r w:rsidR="005E42DD">
        <w:rPr>
          <w:rFonts w:ascii="Times New Roman" w:hAnsi="Times New Roman" w:cs="Times New Roman"/>
          <w:sz w:val="27"/>
          <w:szCs w:val="27"/>
        </w:rPr>
        <w:t>в.м</w:t>
      </w:r>
      <w:r w:rsidR="00D55EE5">
        <w:rPr>
          <w:rFonts w:ascii="Times New Roman" w:hAnsi="Times New Roman" w:cs="Times New Roman"/>
          <w:sz w:val="27"/>
          <w:szCs w:val="27"/>
        </w:rPr>
        <w:t>.</w:t>
      </w:r>
      <w:r w:rsidR="00645D2E">
        <w:rPr>
          <w:rFonts w:ascii="Times New Roman" w:hAnsi="Times New Roman" w:cs="Times New Roman"/>
          <w:sz w:val="27"/>
          <w:szCs w:val="27"/>
        </w:rPr>
        <w:t>, в Москве – 54</w:t>
      </w:r>
      <w:r w:rsidR="00C144AE">
        <w:rPr>
          <w:rFonts w:ascii="Times New Roman" w:hAnsi="Times New Roman" w:cs="Times New Roman"/>
          <w:sz w:val="27"/>
          <w:szCs w:val="27"/>
        </w:rPr>
        <w:t>,4</w:t>
      </w:r>
      <w:r w:rsidR="00645D2E">
        <w:rPr>
          <w:rFonts w:ascii="Times New Roman" w:hAnsi="Times New Roman" w:cs="Times New Roman"/>
          <w:sz w:val="27"/>
          <w:szCs w:val="27"/>
        </w:rPr>
        <w:t xml:space="preserve"> кв.м.</w:t>
      </w:r>
      <w:r w:rsidR="005E42DD">
        <w:rPr>
          <w:rFonts w:ascii="Times New Roman" w:hAnsi="Times New Roman" w:cs="Times New Roman"/>
          <w:sz w:val="27"/>
          <w:szCs w:val="27"/>
        </w:rPr>
        <w:t xml:space="preserve"> </w:t>
      </w:r>
      <w:r w:rsidR="00C04789">
        <w:rPr>
          <w:rFonts w:ascii="Times New Roman" w:hAnsi="Times New Roman" w:cs="Times New Roman"/>
          <w:sz w:val="27"/>
          <w:szCs w:val="27"/>
        </w:rPr>
        <w:t>(по итогам февраля 2024г.)</w:t>
      </w:r>
      <w:r w:rsidR="005E42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A4AE2FF" w14:textId="77777777" w:rsidR="00645D2E" w:rsidRPr="009824BA" w:rsidRDefault="00645D2E" w:rsidP="003F387B">
      <w:pPr>
        <w:pStyle w:val="af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6B79FE3" w14:textId="128B5A41" w:rsidR="003542F7" w:rsidRPr="00520274" w:rsidRDefault="00947EBC" w:rsidP="00347833">
      <w:pPr>
        <w:pStyle w:val="af0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60BFD">
        <w:rPr>
          <w:rFonts w:ascii="Times New Roman" w:hAnsi="Times New Roman" w:cs="Times New Roman"/>
          <w:b/>
          <w:bCs/>
          <w:sz w:val="27"/>
          <w:szCs w:val="27"/>
        </w:rPr>
        <w:t xml:space="preserve">Изменение средней </w:t>
      </w:r>
      <w:r w:rsidRPr="00360BFD">
        <w:rPr>
          <w:rFonts w:ascii="Times New Roman" w:hAnsi="Times New Roman" w:cs="Times New Roman"/>
          <w:b/>
          <w:bCs/>
          <w:sz w:val="27"/>
          <w:szCs w:val="27"/>
          <w:lang w:val="en-US"/>
        </w:rPr>
        <w:t>S</w:t>
      </w:r>
      <w:r w:rsidRPr="00360BFD">
        <w:rPr>
          <w:rFonts w:ascii="Times New Roman" w:hAnsi="Times New Roman" w:cs="Times New Roman"/>
          <w:b/>
          <w:bCs/>
          <w:sz w:val="27"/>
          <w:szCs w:val="27"/>
        </w:rPr>
        <w:t xml:space="preserve"> жилья по ДДУ, (кв.м.)</w:t>
      </w:r>
    </w:p>
    <w:p w14:paraId="0FB0A4EA" w14:textId="30A1E496" w:rsidR="00947EBC" w:rsidRPr="007D42C6" w:rsidRDefault="00445709" w:rsidP="003542F7">
      <w:pPr>
        <w:pStyle w:val="af0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DCB1F90" wp14:editId="3DFA2928">
            <wp:extent cx="5939790" cy="2019783"/>
            <wp:effectExtent l="0" t="0" r="3810" b="0"/>
            <wp:docPr id="171124428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4DD26C8-F526-41C3-9363-679229D7EF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37A3CB" w14:textId="77777777" w:rsidR="003542F7" w:rsidRPr="009824BA" w:rsidRDefault="003542F7" w:rsidP="00347833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14:paraId="6CA80718" w14:textId="27D8B894" w:rsidR="00947EBC" w:rsidRDefault="005F099E" w:rsidP="00AD3CF3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С </w:t>
      </w:r>
      <w:r w:rsidR="008D4CE7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2023г. наметилась тенденция по уменьшению к</w:t>
      </w:r>
      <w:r w:rsidR="00BA2402" w:rsidRPr="007D42C6">
        <w:rPr>
          <w:rFonts w:ascii="Times New Roman" w:hAnsi="Times New Roman" w:cs="Times New Roman"/>
          <w:sz w:val="27"/>
          <w:szCs w:val="27"/>
        </w:rPr>
        <w:t>оличеств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BA2402" w:rsidRPr="007D42C6">
        <w:rPr>
          <w:rFonts w:ascii="Times New Roman" w:hAnsi="Times New Roman" w:cs="Times New Roman"/>
          <w:sz w:val="27"/>
          <w:szCs w:val="27"/>
        </w:rPr>
        <w:t xml:space="preserve"> заключ</w:t>
      </w:r>
      <w:r>
        <w:rPr>
          <w:rFonts w:ascii="Times New Roman" w:hAnsi="Times New Roman" w:cs="Times New Roman"/>
          <w:sz w:val="27"/>
          <w:szCs w:val="27"/>
        </w:rPr>
        <w:t>аемых</w:t>
      </w:r>
      <w:r w:rsidR="00BA2402" w:rsidRPr="007D42C6">
        <w:rPr>
          <w:rFonts w:ascii="Times New Roman" w:hAnsi="Times New Roman" w:cs="Times New Roman"/>
          <w:sz w:val="27"/>
          <w:szCs w:val="27"/>
        </w:rPr>
        <w:t xml:space="preserve"> </w:t>
      </w:r>
      <w:r w:rsidR="00A07A8B" w:rsidRPr="007D42C6">
        <w:rPr>
          <w:rFonts w:ascii="Times New Roman" w:hAnsi="Times New Roman" w:cs="Times New Roman"/>
          <w:sz w:val="27"/>
          <w:szCs w:val="27"/>
        </w:rPr>
        <w:t>ДДУ</w:t>
      </w:r>
      <w:r w:rsidR="008D4CE7">
        <w:rPr>
          <w:rFonts w:ascii="Times New Roman" w:hAnsi="Times New Roman" w:cs="Times New Roman"/>
          <w:sz w:val="27"/>
          <w:szCs w:val="27"/>
        </w:rPr>
        <w:t>.</w:t>
      </w:r>
      <w:r w:rsidR="00AD3CF3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>В</w:t>
      </w:r>
      <w:r w:rsidR="00AD3CF3">
        <w:rPr>
          <w:rFonts w:ascii="Times New Roman" w:hAnsi="Times New Roman" w:cs="Times New Roman"/>
          <w:sz w:val="27"/>
          <w:szCs w:val="27"/>
        </w:rPr>
        <w:t xml:space="preserve"> январе-</w:t>
      </w:r>
      <w:r>
        <w:rPr>
          <w:rFonts w:ascii="Times New Roman" w:hAnsi="Times New Roman" w:cs="Times New Roman"/>
          <w:sz w:val="27"/>
          <w:szCs w:val="27"/>
        </w:rPr>
        <w:t>феврале 2024г.</w:t>
      </w:r>
      <w:r w:rsidR="00206096">
        <w:rPr>
          <w:rFonts w:ascii="Times New Roman" w:hAnsi="Times New Roman" w:cs="Times New Roman"/>
          <w:sz w:val="27"/>
          <w:szCs w:val="27"/>
        </w:rPr>
        <w:t xml:space="preserve"> </w:t>
      </w:r>
      <w:r w:rsidR="00AD3CF3">
        <w:rPr>
          <w:rFonts w:ascii="Times New Roman" w:hAnsi="Times New Roman" w:cs="Times New Roman"/>
          <w:sz w:val="27"/>
          <w:szCs w:val="27"/>
        </w:rPr>
        <w:t xml:space="preserve">эта тенденция только усилилась. Так, в феврале </w:t>
      </w:r>
      <w:r>
        <w:rPr>
          <w:rFonts w:ascii="Times New Roman" w:hAnsi="Times New Roman" w:cs="Times New Roman"/>
          <w:sz w:val="27"/>
          <w:szCs w:val="27"/>
        </w:rPr>
        <w:t>количество заключенных ДДУ</w:t>
      </w:r>
      <w:r w:rsidR="008D4CE7" w:rsidRPr="008D4CE7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>в отношении жилых помещений</w:t>
      </w:r>
      <w:r>
        <w:rPr>
          <w:rFonts w:ascii="Times New Roman" w:hAnsi="Times New Roman" w:cs="Times New Roman"/>
          <w:sz w:val="27"/>
          <w:szCs w:val="27"/>
        </w:rPr>
        <w:t xml:space="preserve"> достигло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 xml:space="preserve">максимума своего падения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Pr="00AD3CF3">
        <w:rPr>
          <w:rFonts w:ascii="Times New Roman" w:hAnsi="Times New Roman" w:cs="Times New Roman"/>
          <w:b/>
          <w:bCs/>
          <w:sz w:val="27"/>
          <w:szCs w:val="27"/>
        </w:rPr>
        <w:t>464</w:t>
      </w:r>
      <w:r>
        <w:rPr>
          <w:rFonts w:ascii="Times New Roman" w:hAnsi="Times New Roman" w:cs="Times New Roman"/>
          <w:sz w:val="27"/>
          <w:szCs w:val="27"/>
        </w:rPr>
        <w:t xml:space="preserve"> ДДУ, что </w:t>
      </w:r>
      <w:r w:rsidR="00E81168">
        <w:rPr>
          <w:rFonts w:ascii="Times New Roman" w:hAnsi="Times New Roman" w:cs="Times New Roman"/>
          <w:sz w:val="27"/>
          <w:szCs w:val="27"/>
        </w:rPr>
        <w:t xml:space="preserve">на </w:t>
      </w:r>
      <w:r w:rsidR="003561C0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4,4</w:t>
      </w:r>
      <w:r w:rsidR="00E81168">
        <w:rPr>
          <w:rFonts w:ascii="Times New Roman" w:hAnsi="Times New Roman" w:cs="Times New Roman"/>
          <w:sz w:val="27"/>
          <w:szCs w:val="27"/>
        </w:rPr>
        <w:t>%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меньше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374487">
        <w:rPr>
          <w:rFonts w:ascii="Times New Roman" w:hAnsi="Times New Roman" w:cs="Times New Roman"/>
          <w:sz w:val="27"/>
          <w:szCs w:val="27"/>
        </w:rPr>
        <w:t>показателей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>2024г.</w:t>
      </w:r>
      <w:r>
        <w:rPr>
          <w:rFonts w:ascii="Times New Roman" w:hAnsi="Times New Roman" w:cs="Times New Roman"/>
          <w:sz w:val="27"/>
          <w:szCs w:val="27"/>
        </w:rPr>
        <w:t xml:space="preserve"> (707</w:t>
      </w:r>
      <w:r w:rsidR="008D4CE7">
        <w:rPr>
          <w:rFonts w:ascii="Times New Roman" w:hAnsi="Times New Roman" w:cs="Times New Roman"/>
          <w:sz w:val="27"/>
          <w:szCs w:val="27"/>
        </w:rPr>
        <w:t xml:space="preserve"> ДДУ</w:t>
      </w:r>
      <w:r>
        <w:rPr>
          <w:rFonts w:ascii="Times New Roman" w:hAnsi="Times New Roman" w:cs="Times New Roman"/>
          <w:sz w:val="27"/>
          <w:szCs w:val="27"/>
        </w:rPr>
        <w:t>)</w:t>
      </w:r>
      <w:r w:rsidR="008D4CE7">
        <w:rPr>
          <w:rFonts w:ascii="Times New Roman" w:hAnsi="Times New Roman" w:cs="Times New Roman"/>
          <w:sz w:val="27"/>
          <w:szCs w:val="27"/>
        </w:rPr>
        <w:t xml:space="preserve"> и на 7% ниже </w:t>
      </w:r>
      <w:r w:rsidR="00C04789">
        <w:rPr>
          <w:rFonts w:ascii="Times New Roman" w:hAnsi="Times New Roman" w:cs="Times New Roman"/>
          <w:sz w:val="27"/>
          <w:szCs w:val="27"/>
        </w:rPr>
        <w:t>минимума 2023г. (</w:t>
      </w:r>
      <w:r w:rsidR="00F0174A">
        <w:rPr>
          <w:rFonts w:ascii="Times New Roman" w:hAnsi="Times New Roman" w:cs="Times New Roman"/>
          <w:sz w:val="27"/>
          <w:szCs w:val="27"/>
        </w:rPr>
        <w:t>в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>январ</w:t>
      </w:r>
      <w:r w:rsidR="00F0174A">
        <w:rPr>
          <w:rFonts w:ascii="Times New Roman" w:hAnsi="Times New Roman" w:cs="Times New Roman"/>
          <w:sz w:val="27"/>
          <w:szCs w:val="27"/>
        </w:rPr>
        <w:t>е</w:t>
      </w:r>
      <w:r w:rsidR="008D4CE7">
        <w:rPr>
          <w:rFonts w:ascii="Times New Roman" w:hAnsi="Times New Roman" w:cs="Times New Roman"/>
          <w:sz w:val="27"/>
          <w:szCs w:val="27"/>
        </w:rPr>
        <w:t xml:space="preserve"> 2023г</w:t>
      </w:r>
      <w:r w:rsidR="00F0174A">
        <w:rPr>
          <w:rFonts w:ascii="Times New Roman" w:hAnsi="Times New Roman" w:cs="Times New Roman"/>
          <w:sz w:val="27"/>
          <w:szCs w:val="27"/>
        </w:rPr>
        <w:t xml:space="preserve"> – 499 ДДУ)</w:t>
      </w:r>
      <w:r w:rsidR="008D4C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D3CF3">
        <w:rPr>
          <w:rFonts w:ascii="Times New Roman" w:hAnsi="Times New Roman" w:cs="Times New Roman"/>
          <w:sz w:val="27"/>
          <w:szCs w:val="27"/>
        </w:rPr>
        <w:t>О</w:t>
      </w:r>
      <w:r w:rsidR="00F53220" w:rsidRPr="007D42C6">
        <w:rPr>
          <w:rFonts w:ascii="Times New Roman" w:hAnsi="Times New Roman" w:cs="Times New Roman"/>
          <w:sz w:val="27"/>
          <w:szCs w:val="27"/>
        </w:rPr>
        <w:t>бъем</w:t>
      </w:r>
      <w:r w:rsidR="00CC00A4">
        <w:rPr>
          <w:rFonts w:ascii="Times New Roman" w:hAnsi="Times New Roman" w:cs="Times New Roman"/>
          <w:sz w:val="27"/>
          <w:szCs w:val="27"/>
        </w:rPr>
        <w:t xml:space="preserve"> всей</w:t>
      </w:r>
      <w:r w:rsidR="00F53220" w:rsidRPr="007D42C6">
        <w:rPr>
          <w:rFonts w:ascii="Times New Roman" w:hAnsi="Times New Roman" w:cs="Times New Roman"/>
          <w:sz w:val="27"/>
          <w:szCs w:val="27"/>
        </w:rPr>
        <w:t xml:space="preserve"> реализованной площади по ДДУ</w:t>
      </w:r>
      <w:r w:rsidR="00F53220">
        <w:rPr>
          <w:rFonts w:ascii="Times New Roman" w:hAnsi="Times New Roman" w:cs="Times New Roman"/>
          <w:sz w:val="27"/>
          <w:szCs w:val="27"/>
        </w:rPr>
        <w:t xml:space="preserve"> </w:t>
      </w:r>
      <w:r w:rsidR="003561C0">
        <w:rPr>
          <w:rFonts w:ascii="Times New Roman" w:hAnsi="Times New Roman" w:cs="Times New Roman"/>
          <w:sz w:val="27"/>
          <w:szCs w:val="27"/>
        </w:rPr>
        <w:t>в</w:t>
      </w:r>
      <w:r w:rsidR="00CC00A4">
        <w:rPr>
          <w:rFonts w:ascii="Times New Roman" w:hAnsi="Times New Roman" w:cs="Times New Roman"/>
          <w:sz w:val="27"/>
          <w:szCs w:val="27"/>
        </w:rPr>
        <w:t xml:space="preserve"> </w:t>
      </w:r>
      <w:r w:rsidR="008D4CE7">
        <w:rPr>
          <w:rFonts w:ascii="Times New Roman" w:hAnsi="Times New Roman" w:cs="Times New Roman"/>
          <w:sz w:val="27"/>
          <w:szCs w:val="27"/>
        </w:rPr>
        <w:t>феврал</w:t>
      </w:r>
      <w:r w:rsidR="003561C0">
        <w:rPr>
          <w:rFonts w:ascii="Times New Roman" w:hAnsi="Times New Roman" w:cs="Times New Roman"/>
          <w:sz w:val="27"/>
          <w:szCs w:val="27"/>
        </w:rPr>
        <w:t>е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C00A4">
        <w:rPr>
          <w:rFonts w:ascii="Times New Roman" w:hAnsi="Times New Roman" w:cs="Times New Roman"/>
          <w:sz w:val="27"/>
          <w:szCs w:val="27"/>
        </w:rPr>
        <w:t>т.г</w:t>
      </w:r>
      <w:proofErr w:type="spellEnd"/>
      <w:r w:rsidR="00CC00A4">
        <w:rPr>
          <w:rFonts w:ascii="Times New Roman" w:hAnsi="Times New Roman" w:cs="Times New Roman"/>
          <w:sz w:val="27"/>
          <w:szCs w:val="27"/>
        </w:rPr>
        <w:t xml:space="preserve">. </w:t>
      </w:r>
      <w:r w:rsidR="00F53220">
        <w:rPr>
          <w:rFonts w:ascii="Times New Roman" w:hAnsi="Times New Roman" w:cs="Times New Roman"/>
          <w:sz w:val="27"/>
          <w:szCs w:val="27"/>
        </w:rPr>
        <w:t xml:space="preserve">составил </w:t>
      </w:r>
      <w:r w:rsidR="00AD3CF3" w:rsidRPr="00AD3CF3">
        <w:rPr>
          <w:rFonts w:ascii="Times New Roman" w:hAnsi="Times New Roman" w:cs="Times New Roman"/>
          <w:b/>
          <w:bCs/>
          <w:sz w:val="27"/>
          <w:szCs w:val="27"/>
        </w:rPr>
        <w:t>22, 256</w:t>
      </w:r>
      <w:r w:rsidR="00AD3CF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D4CE7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8D4CE7">
        <w:rPr>
          <w:rFonts w:ascii="Times New Roman" w:hAnsi="Times New Roman" w:cs="Times New Roman"/>
          <w:sz w:val="27"/>
          <w:szCs w:val="27"/>
        </w:rPr>
        <w:t xml:space="preserve">., </w:t>
      </w:r>
      <w:r w:rsidR="00AD3CF3">
        <w:rPr>
          <w:rFonts w:ascii="Times New Roman" w:hAnsi="Times New Roman" w:cs="Times New Roman"/>
          <w:sz w:val="27"/>
          <w:szCs w:val="27"/>
        </w:rPr>
        <w:t>что на 32,3% меньше показателей января</w:t>
      </w:r>
      <w:r w:rsidR="008D4CE7">
        <w:rPr>
          <w:rFonts w:ascii="Times New Roman" w:hAnsi="Times New Roman" w:cs="Times New Roman"/>
          <w:sz w:val="27"/>
          <w:szCs w:val="27"/>
        </w:rPr>
        <w:t xml:space="preserve"> 2024г.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AD3CF3">
        <w:rPr>
          <w:rFonts w:ascii="Times New Roman" w:hAnsi="Times New Roman" w:cs="Times New Roman"/>
          <w:sz w:val="27"/>
          <w:szCs w:val="27"/>
        </w:rPr>
        <w:t>-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3561C0" w:rsidRPr="00AD3CF3">
        <w:rPr>
          <w:rFonts w:ascii="Times New Roman" w:hAnsi="Times New Roman" w:cs="Times New Roman"/>
          <w:sz w:val="27"/>
          <w:szCs w:val="27"/>
        </w:rPr>
        <w:t>32,852</w:t>
      </w:r>
      <w:r w:rsidR="003561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561C0">
        <w:rPr>
          <w:rFonts w:ascii="Times New Roman" w:hAnsi="Times New Roman" w:cs="Times New Roman"/>
          <w:sz w:val="27"/>
          <w:szCs w:val="27"/>
        </w:rPr>
        <w:t>тыс.</w:t>
      </w:r>
      <w:proofErr w:type="gramStart"/>
      <w:r w:rsidR="003561C0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="008D4CE7">
        <w:rPr>
          <w:rFonts w:ascii="Times New Roman" w:hAnsi="Times New Roman" w:cs="Times New Roman"/>
          <w:sz w:val="27"/>
          <w:szCs w:val="27"/>
        </w:rPr>
        <w:t xml:space="preserve"> и на 18% меньше показателей января 2023г. (27,095 </w:t>
      </w:r>
      <w:proofErr w:type="spellStart"/>
      <w:r w:rsidR="008D4CE7"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 w:rsidR="008D4CE7">
        <w:rPr>
          <w:rFonts w:ascii="Times New Roman" w:hAnsi="Times New Roman" w:cs="Times New Roman"/>
          <w:sz w:val="27"/>
          <w:szCs w:val="27"/>
        </w:rPr>
        <w:t>)</w:t>
      </w:r>
    </w:p>
    <w:p w14:paraId="3B455C32" w14:textId="77777777" w:rsidR="00645D2E" w:rsidRDefault="00645D2E" w:rsidP="0045227A">
      <w:pPr>
        <w:pStyle w:val="af0"/>
        <w:ind w:left="1418"/>
        <w:rPr>
          <w:rFonts w:ascii="Times New Roman" w:hAnsi="Times New Roman" w:cs="Times New Roman"/>
          <w:b/>
          <w:bCs/>
          <w:sz w:val="27"/>
          <w:szCs w:val="27"/>
        </w:rPr>
      </w:pPr>
    </w:p>
    <w:p w14:paraId="2BE8DD82" w14:textId="4E77A711" w:rsidR="00AD177D" w:rsidRPr="000917C0" w:rsidRDefault="003E102D" w:rsidP="0045227A">
      <w:pPr>
        <w:pStyle w:val="af0"/>
        <w:ind w:left="1418"/>
        <w:rPr>
          <w:b/>
          <w:bCs/>
          <w:noProof/>
          <w:sz w:val="27"/>
          <w:szCs w:val="27"/>
        </w:rPr>
      </w:pPr>
      <w:r w:rsidRPr="00223F41">
        <w:rPr>
          <w:rFonts w:ascii="Times New Roman" w:hAnsi="Times New Roman" w:cs="Times New Roman"/>
          <w:b/>
          <w:bCs/>
          <w:sz w:val="27"/>
          <w:szCs w:val="27"/>
        </w:rPr>
        <w:t>Динамика заключения ДДУ</w:t>
      </w:r>
      <w:r w:rsidR="00EE35AE">
        <w:rPr>
          <w:b/>
          <w:bCs/>
          <w:noProof/>
          <w:sz w:val="27"/>
          <w:szCs w:val="27"/>
        </w:rPr>
        <w:t xml:space="preserve"> </w:t>
      </w:r>
      <w:r w:rsidR="0045227A" w:rsidRPr="00223F41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="00EE35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5227A" w:rsidRPr="00223F41">
        <w:rPr>
          <w:rFonts w:ascii="Times New Roman" w:hAnsi="Times New Roman" w:cs="Times New Roman"/>
          <w:b/>
          <w:bCs/>
          <w:sz w:val="27"/>
          <w:szCs w:val="27"/>
        </w:rPr>
        <w:t xml:space="preserve">реализация </w:t>
      </w:r>
      <w:r w:rsidR="0045227A" w:rsidRPr="00223F41">
        <w:rPr>
          <w:rFonts w:ascii="Times New Roman" w:hAnsi="Times New Roman" w:cs="Times New Roman"/>
          <w:b/>
          <w:bCs/>
          <w:sz w:val="27"/>
          <w:szCs w:val="27"/>
          <w:lang w:val="en-US"/>
        </w:rPr>
        <w:t>S</w:t>
      </w:r>
      <w:r w:rsidRPr="00223F4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5227A" w:rsidRPr="00223F41">
        <w:rPr>
          <w:rFonts w:ascii="Times New Roman" w:hAnsi="Times New Roman" w:cs="Times New Roman"/>
          <w:b/>
          <w:bCs/>
          <w:sz w:val="27"/>
          <w:szCs w:val="27"/>
        </w:rPr>
        <w:t>по ДДУ</w:t>
      </w:r>
    </w:p>
    <w:bookmarkEnd w:id="1"/>
    <w:p w14:paraId="7410AF6A" w14:textId="44A2B5E1" w:rsidR="00223F41" w:rsidRDefault="00445709" w:rsidP="00223F41">
      <w:pPr>
        <w:shd w:val="clear" w:color="auto" w:fill="FFFFFF"/>
        <w:spacing w:line="315" w:lineRule="atLeast"/>
        <w:jc w:val="both"/>
        <w:textAlignment w:val="baseline"/>
        <w:rPr>
          <w:sz w:val="27"/>
          <w:szCs w:val="27"/>
        </w:rPr>
      </w:pPr>
      <w:r>
        <w:rPr>
          <w:noProof/>
        </w:rPr>
        <w:drawing>
          <wp:inline distT="0" distB="0" distL="0" distR="0" wp14:anchorId="3128471D" wp14:editId="3DF661BF">
            <wp:extent cx="5521124" cy="3206187"/>
            <wp:effectExtent l="0" t="0" r="3810" b="13335"/>
            <wp:docPr id="16368160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216E3E6-EEE4-450D-B4BB-F6A3C2C517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8985DE" w14:textId="77777777" w:rsidR="001B6850" w:rsidRDefault="001B6850" w:rsidP="00684D14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D6D17E7" w14:textId="0544C153" w:rsidR="00684D14" w:rsidRPr="007D42C6" w:rsidRDefault="00AD3CF3" w:rsidP="00684D14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Усилившийся</w:t>
      </w:r>
      <w:r w:rsidR="00856557">
        <w:rPr>
          <w:rFonts w:ascii="Times New Roman" w:hAnsi="Times New Roman" w:cs="Times New Roman"/>
          <w:sz w:val="27"/>
          <w:szCs w:val="27"/>
        </w:rPr>
        <w:t xml:space="preserve"> в феврале 2024г.</w:t>
      </w:r>
      <w:r w:rsidR="00684D14">
        <w:rPr>
          <w:rFonts w:ascii="Times New Roman" w:hAnsi="Times New Roman" w:cs="Times New Roman"/>
          <w:sz w:val="27"/>
          <w:szCs w:val="27"/>
        </w:rPr>
        <w:t xml:space="preserve"> тренд на снижение количества заключенных ДДУ, уменьшени</w:t>
      </w:r>
      <w:r w:rsidR="00856557">
        <w:rPr>
          <w:rFonts w:ascii="Times New Roman" w:hAnsi="Times New Roman" w:cs="Times New Roman"/>
          <w:sz w:val="27"/>
          <w:szCs w:val="27"/>
        </w:rPr>
        <w:t>е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684D14">
        <w:rPr>
          <w:rFonts w:ascii="Times New Roman" w:hAnsi="Times New Roman" w:cs="Times New Roman"/>
          <w:sz w:val="27"/>
          <w:szCs w:val="27"/>
        </w:rPr>
        <w:t>объемов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684D14">
        <w:rPr>
          <w:rFonts w:ascii="Times New Roman" w:hAnsi="Times New Roman" w:cs="Times New Roman"/>
          <w:sz w:val="27"/>
          <w:szCs w:val="27"/>
        </w:rPr>
        <w:t>реализованной площади по ДДУ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684D14">
        <w:rPr>
          <w:rFonts w:ascii="Times New Roman" w:hAnsi="Times New Roman" w:cs="Times New Roman"/>
          <w:sz w:val="27"/>
          <w:szCs w:val="27"/>
        </w:rPr>
        <w:t>обусловлен</w:t>
      </w:r>
      <w:r>
        <w:rPr>
          <w:rFonts w:ascii="Times New Roman" w:hAnsi="Times New Roman" w:cs="Times New Roman"/>
          <w:sz w:val="27"/>
          <w:szCs w:val="27"/>
        </w:rPr>
        <w:t xml:space="preserve"> кратковременным</w:t>
      </w:r>
      <w:r w:rsidR="00684D14">
        <w:rPr>
          <w:rFonts w:ascii="Times New Roman" w:hAnsi="Times New Roman" w:cs="Times New Roman"/>
          <w:sz w:val="27"/>
          <w:szCs w:val="27"/>
        </w:rPr>
        <w:t xml:space="preserve"> </w:t>
      </w:r>
      <w:r w:rsidR="00856557">
        <w:rPr>
          <w:rFonts w:ascii="Times New Roman" w:hAnsi="Times New Roman" w:cs="Times New Roman"/>
          <w:sz w:val="27"/>
          <w:szCs w:val="27"/>
        </w:rPr>
        <w:t xml:space="preserve">охлаждением </w:t>
      </w:r>
      <w:r w:rsidR="00684D14">
        <w:rPr>
          <w:rFonts w:ascii="Times New Roman" w:hAnsi="Times New Roman" w:cs="Times New Roman"/>
          <w:sz w:val="27"/>
          <w:szCs w:val="27"/>
        </w:rPr>
        <w:t>спрос</w:t>
      </w:r>
      <w:r w:rsidR="00856557">
        <w:rPr>
          <w:rFonts w:ascii="Times New Roman" w:hAnsi="Times New Roman" w:cs="Times New Roman"/>
          <w:sz w:val="27"/>
          <w:szCs w:val="27"/>
        </w:rPr>
        <w:t>а</w:t>
      </w:r>
      <w:r w:rsidR="00684D14">
        <w:rPr>
          <w:rFonts w:ascii="Times New Roman" w:hAnsi="Times New Roman" w:cs="Times New Roman"/>
          <w:sz w:val="27"/>
          <w:szCs w:val="27"/>
        </w:rPr>
        <w:t xml:space="preserve"> населения вследствие</w:t>
      </w:r>
      <w:r w:rsidR="00856557">
        <w:rPr>
          <w:rFonts w:ascii="Times New Roman" w:hAnsi="Times New Roman" w:cs="Times New Roman"/>
          <w:sz w:val="27"/>
          <w:szCs w:val="27"/>
        </w:rPr>
        <w:t xml:space="preserve"> продления программы льготной ипотеки</w:t>
      </w:r>
      <w:r w:rsidR="008D4CE7">
        <w:rPr>
          <w:rFonts w:ascii="Times New Roman" w:hAnsi="Times New Roman" w:cs="Times New Roman"/>
          <w:sz w:val="27"/>
          <w:szCs w:val="27"/>
        </w:rPr>
        <w:t xml:space="preserve"> (</w:t>
      </w:r>
      <w:r w:rsidR="00856557">
        <w:rPr>
          <w:rFonts w:ascii="Times New Roman" w:hAnsi="Times New Roman" w:cs="Times New Roman"/>
          <w:sz w:val="27"/>
          <w:szCs w:val="27"/>
        </w:rPr>
        <w:t>ранее спрос подхлестывала перспектива ее завершения</w:t>
      </w:r>
      <w:r w:rsidR="008D4CE7">
        <w:rPr>
          <w:rFonts w:ascii="Times New Roman" w:hAnsi="Times New Roman" w:cs="Times New Roman"/>
          <w:sz w:val="27"/>
          <w:szCs w:val="27"/>
        </w:rPr>
        <w:t>)</w:t>
      </w:r>
      <w:r w:rsidR="00856557">
        <w:rPr>
          <w:rFonts w:ascii="Times New Roman" w:hAnsi="Times New Roman" w:cs="Times New Roman"/>
          <w:sz w:val="27"/>
          <w:szCs w:val="27"/>
        </w:rPr>
        <w:t>,</w:t>
      </w:r>
      <w:r w:rsidR="00684D14">
        <w:rPr>
          <w:rFonts w:ascii="Times New Roman" w:hAnsi="Times New Roman" w:cs="Times New Roman"/>
          <w:sz w:val="27"/>
          <w:szCs w:val="27"/>
        </w:rPr>
        <w:t xml:space="preserve"> рост</w:t>
      </w:r>
      <w:r w:rsidR="00856557">
        <w:rPr>
          <w:rFonts w:ascii="Times New Roman" w:hAnsi="Times New Roman" w:cs="Times New Roman"/>
          <w:sz w:val="27"/>
          <w:szCs w:val="27"/>
        </w:rPr>
        <w:t>ом</w:t>
      </w:r>
      <w:r w:rsidR="00684D14">
        <w:rPr>
          <w:rFonts w:ascii="Times New Roman" w:hAnsi="Times New Roman" w:cs="Times New Roman"/>
          <w:sz w:val="27"/>
          <w:szCs w:val="27"/>
        </w:rPr>
        <w:t xml:space="preserve"> цен на квадратный метр жилья, изменением условий программы льготной ипотеки, повышением требований Банков к заемщикам, к размеру предельной долговой нагрузки ипотечного заемщика с учетом всех имеющихся кредитных обязательств, увеличением размера взноса собственных средств заемщика</w:t>
      </w:r>
      <w:r w:rsidR="00856557">
        <w:rPr>
          <w:rFonts w:ascii="Times New Roman" w:hAnsi="Times New Roman" w:cs="Times New Roman"/>
          <w:sz w:val="27"/>
          <w:szCs w:val="27"/>
        </w:rPr>
        <w:t>, а также нестабильной политической обстановкой в мире.</w:t>
      </w:r>
    </w:p>
    <w:p w14:paraId="2A2A979D" w14:textId="36C3ADBF" w:rsidR="00B03419" w:rsidRDefault="00F50FBA" w:rsidP="0030657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С</w:t>
      </w:r>
      <w:r w:rsidR="002606C3">
        <w:rPr>
          <w:sz w:val="27"/>
          <w:szCs w:val="27"/>
        </w:rPr>
        <w:t>редн</w:t>
      </w:r>
      <w:r>
        <w:rPr>
          <w:sz w:val="27"/>
          <w:szCs w:val="27"/>
        </w:rPr>
        <w:t>яя</w:t>
      </w:r>
      <w:r w:rsidR="002606C3">
        <w:rPr>
          <w:sz w:val="27"/>
          <w:szCs w:val="27"/>
        </w:rPr>
        <w:t xml:space="preserve"> цен</w:t>
      </w:r>
      <w:r>
        <w:rPr>
          <w:sz w:val="27"/>
          <w:szCs w:val="27"/>
        </w:rPr>
        <w:t>а</w:t>
      </w:r>
      <w:r w:rsidR="002606C3">
        <w:rPr>
          <w:sz w:val="27"/>
          <w:szCs w:val="27"/>
        </w:rPr>
        <w:t xml:space="preserve"> ДДУ</w:t>
      </w:r>
      <w:r w:rsidR="00EE35AE">
        <w:rPr>
          <w:sz w:val="27"/>
          <w:szCs w:val="27"/>
        </w:rPr>
        <w:t xml:space="preserve"> </w:t>
      </w:r>
      <w:r w:rsidR="008D2889">
        <w:rPr>
          <w:sz w:val="27"/>
          <w:szCs w:val="27"/>
        </w:rPr>
        <w:t xml:space="preserve">в </w:t>
      </w:r>
      <w:r w:rsidR="00856557">
        <w:rPr>
          <w:sz w:val="27"/>
          <w:szCs w:val="27"/>
        </w:rPr>
        <w:t>феврале</w:t>
      </w:r>
      <w:r w:rsidR="007647AA">
        <w:rPr>
          <w:sz w:val="27"/>
          <w:szCs w:val="27"/>
        </w:rPr>
        <w:t xml:space="preserve"> 2024г. </w:t>
      </w:r>
      <w:r w:rsidR="008D2889">
        <w:rPr>
          <w:sz w:val="27"/>
          <w:szCs w:val="27"/>
        </w:rPr>
        <w:t>показал</w:t>
      </w:r>
      <w:r w:rsidR="00856557">
        <w:rPr>
          <w:sz w:val="27"/>
          <w:szCs w:val="27"/>
        </w:rPr>
        <w:t>а</w:t>
      </w:r>
      <w:r w:rsidR="008D2889">
        <w:rPr>
          <w:sz w:val="27"/>
          <w:szCs w:val="27"/>
        </w:rPr>
        <w:t xml:space="preserve"> </w:t>
      </w:r>
      <w:r w:rsidR="00856557">
        <w:rPr>
          <w:sz w:val="27"/>
          <w:szCs w:val="27"/>
        </w:rPr>
        <w:t>рост до</w:t>
      </w:r>
      <w:r w:rsidR="00EE35AE">
        <w:rPr>
          <w:sz w:val="27"/>
          <w:szCs w:val="27"/>
        </w:rPr>
        <w:t xml:space="preserve"> </w:t>
      </w:r>
      <w:r w:rsidR="00C43A7D" w:rsidRPr="0007287D">
        <w:rPr>
          <w:b/>
          <w:bCs/>
          <w:sz w:val="27"/>
          <w:szCs w:val="27"/>
        </w:rPr>
        <w:t>5,7</w:t>
      </w:r>
      <w:r w:rsidR="00856557" w:rsidRPr="0007287D">
        <w:rPr>
          <w:b/>
          <w:bCs/>
          <w:sz w:val="27"/>
          <w:szCs w:val="27"/>
        </w:rPr>
        <w:t>88</w:t>
      </w:r>
      <w:r w:rsidR="00C43A7D">
        <w:rPr>
          <w:sz w:val="27"/>
          <w:szCs w:val="27"/>
        </w:rPr>
        <w:t xml:space="preserve"> </w:t>
      </w:r>
      <w:proofErr w:type="spellStart"/>
      <w:proofErr w:type="gramStart"/>
      <w:r w:rsidR="00C43A7D">
        <w:rPr>
          <w:sz w:val="27"/>
          <w:szCs w:val="27"/>
        </w:rPr>
        <w:t>млн.рублей</w:t>
      </w:r>
      <w:proofErr w:type="spellEnd"/>
      <w:proofErr w:type="gramEnd"/>
      <w:r w:rsidR="00856557">
        <w:rPr>
          <w:sz w:val="27"/>
          <w:szCs w:val="27"/>
        </w:rPr>
        <w:t>, в январе цена ДДУ составляла</w:t>
      </w:r>
      <w:r w:rsidR="00EE35AE">
        <w:rPr>
          <w:sz w:val="27"/>
          <w:szCs w:val="27"/>
        </w:rPr>
        <w:t xml:space="preserve"> </w:t>
      </w:r>
      <w:r w:rsidR="00856557">
        <w:rPr>
          <w:sz w:val="27"/>
          <w:szCs w:val="27"/>
        </w:rPr>
        <w:t xml:space="preserve">– 5,7 </w:t>
      </w:r>
      <w:proofErr w:type="spellStart"/>
      <w:r w:rsidR="00856557">
        <w:rPr>
          <w:sz w:val="27"/>
          <w:szCs w:val="27"/>
        </w:rPr>
        <w:t>млн.рублей</w:t>
      </w:r>
      <w:proofErr w:type="spellEnd"/>
      <w:r w:rsidR="00856557">
        <w:rPr>
          <w:sz w:val="27"/>
          <w:szCs w:val="27"/>
        </w:rPr>
        <w:t>, а</w:t>
      </w:r>
      <w:r w:rsidR="00C43A7D">
        <w:rPr>
          <w:sz w:val="27"/>
          <w:szCs w:val="27"/>
        </w:rPr>
        <w:t xml:space="preserve"> в декабре</w:t>
      </w:r>
      <w:r w:rsidR="007647AA">
        <w:rPr>
          <w:sz w:val="27"/>
          <w:szCs w:val="27"/>
        </w:rPr>
        <w:t xml:space="preserve"> </w:t>
      </w:r>
      <w:r w:rsidR="0007287D">
        <w:rPr>
          <w:sz w:val="27"/>
          <w:szCs w:val="27"/>
        </w:rPr>
        <w:t>-</w:t>
      </w:r>
      <w:r w:rsidR="007647AA">
        <w:rPr>
          <w:sz w:val="27"/>
          <w:szCs w:val="27"/>
        </w:rPr>
        <w:t xml:space="preserve"> </w:t>
      </w:r>
      <w:r w:rsidR="007647AA" w:rsidRPr="0007287D">
        <w:rPr>
          <w:sz w:val="27"/>
          <w:szCs w:val="27"/>
        </w:rPr>
        <w:t>5,6</w:t>
      </w:r>
      <w:r w:rsidR="007647AA">
        <w:rPr>
          <w:sz w:val="27"/>
          <w:szCs w:val="27"/>
        </w:rPr>
        <w:t xml:space="preserve"> </w:t>
      </w:r>
      <w:proofErr w:type="spellStart"/>
      <w:r w:rsidR="007647AA">
        <w:rPr>
          <w:sz w:val="27"/>
          <w:szCs w:val="27"/>
        </w:rPr>
        <w:t>млн.рублей</w:t>
      </w:r>
      <w:proofErr w:type="spellEnd"/>
      <w:r w:rsidR="007647AA">
        <w:rPr>
          <w:sz w:val="27"/>
          <w:szCs w:val="27"/>
        </w:rPr>
        <w:t>.</w:t>
      </w:r>
      <w:r w:rsidR="00EE35AE">
        <w:rPr>
          <w:sz w:val="27"/>
          <w:szCs w:val="27"/>
        </w:rPr>
        <w:t xml:space="preserve"> </w:t>
      </w:r>
      <w:r w:rsidR="0007287D">
        <w:rPr>
          <w:sz w:val="27"/>
          <w:szCs w:val="27"/>
        </w:rPr>
        <w:t>С</w:t>
      </w:r>
      <w:r w:rsidR="00D91218">
        <w:rPr>
          <w:sz w:val="27"/>
          <w:szCs w:val="27"/>
        </w:rPr>
        <w:t>редн</w:t>
      </w:r>
      <w:r w:rsidR="007647AA">
        <w:rPr>
          <w:sz w:val="27"/>
          <w:szCs w:val="27"/>
        </w:rPr>
        <w:t>яя</w:t>
      </w:r>
      <w:r w:rsidR="00D91218">
        <w:rPr>
          <w:sz w:val="27"/>
          <w:szCs w:val="27"/>
        </w:rPr>
        <w:t xml:space="preserve"> </w:t>
      </w:r>
      <w:r w:rsidR="00396F52">
        <w:rPr>
          <w:sz w:val="27"/>
          <w:szCs w:val="27"/>
        </w:rPr>
        <w:t>цен</w:t>
      </w:r>
      <w:r w:rsidR="007647AA">
        <w:rPr>
          <w:sz w:val="27"/>
          <w:szCs w:val="27"/>
        </w:rPr>
        <w:t>а</w:t>
      </w:r>
      <w:r w:rsidR="00396F52">
        <w:rPr>
          <w:sz w:val="27"/>
          <w:szCs w:val="27"/>
        </w:rPr>
        <w:t xml:space="preserve"> 1 кв.м.</w:t>
      </w:r>
      <w:r w:rsidR="0007287D">
        <w:rPr>
          <w:sz w:val="27"/>
          <w:szCs w:val="27"/>
        </w:rPr>
        <w:t xml:space="preserve"> также</w:t>
      </w:r>
      <w:r w:rsidR="008B6E24">
        <w:rPr>
          <w:sz w:val="27"/>
          <w:szCs w:val="27"/>
        </w:rPr>
        <w:t xml:space="preserve"> </w:t>
      </w:r>
      <w:r w:rsidR="007647AA">
        <w:rPr>
          <w:sz w:val="27"/>
          <w:szCs w:val="27"/>
        </w:rPr>
        <w:t xml:space="preserve">показало </w:t>
      </w:r>
      <w:r w:rsidR="0007287D">
        <w:rPr>
          <w:sz w:val="27"/>
          <w:szCs w:val="27"/>
        </w:rPr>
        <w:t xml:space="preserve">незначительный </w:t>
      </w:r>
      <w:r w:rsidR="007647AA">
        <w:rPr>
          <w:sz w:val="27"/>
          <w:szCs w:val="27"/>
        </w:rPr>
        <w:t xml:space="preserve">рост и </w:t>
      </w:r>
      <w:r w:rsidR="0030657B">
        <w:rPr>
          <w:sz w:val="27"/>
          <w:szCs w:val="27"/>
        </w:rPr>
        <w:t>составил</w:t>
      </w:r>
      <w:r w:rsidR="007647AA">
        <w:rPr>
          <w:sz w:val="27"/>
          <w:szCs w:val="27"/>
        </w:rPr>
        <w:t>а</w:t>
      </w:r>
      <w:r w:rsidR="00EE35AE">
        <w:rPr>
          <w:sz w:val="27"/>
          <w:szCs w:val="27"/>
        </w:rPr>
        <w:t xml:space="preserve"> </w:t>
      </w:r>
      <w:r w:rsidR="0007287D">
        <w:rPr>
          <w:sz w:val="27"/>
          <w:szCs w:val="27"/>
        </w:rPr>
        <w:t xml:space="preserve">- </w:t>
      </w:r>
      <w:r w:rsidR="0007287D" w:rsidRPr="0007287D">
        <w:rPr>
          <w:b/>
          <w:bCs/>
          <w:sz w:val="27"/>
          <w:szCs w:val="27"/>
        </w:rPr>
        <w:t>120,682</w:t>
      </w:r>
      <w:r w:rsidR="0007287D">
        <w:rPr>
          <w:sz w:val="27"/>
          <w:szCs w:val="27"/>
        </w:rPr>
        <w:t xml:space="preserve"> </w:t>
      </w:r>
      <w:proofErr w:type="spellStart"/>
      <w:proofErr w:type="gramStart"/>
      <w:r w:rsidR="0007287D">
        <w:rPr>
          <w:sz w:val="27"/>
          <w:szCs w:val="27"/>
        </w:rPr>
        <w:t>тыс.рублей</w:t>
      </w:r>
      <w:proofErr w:type="spellEnd"/>
      <w:proofErr w:type="gramEnd"/>
      <w:r w:rsidR="0007287D">
        <w:rPr>
          <w:sz w:val="27"/>
          <w:szCs w:val="27"/>
        </w:rPr>
        <w:t>, в январе -</w:t>
      </w:r>
      <w:r w:rsidR="007647AA" w:rsidRPr="0007287D">
        <w:rPr>
          <w:sz w:val="27"/>
          <w:szCs w:val="27"/>
        </w:rPr>
        <w:t>120,393</w:t>
      </w:r>
      <w:r w:rsidR="007647AA">
        <w:rPr>
          <w:sz w:val="27"/>
          <w:szCs w:val="27"/>
        </w:rPr>
        <w:t xml:space="preserve"> </w:t>
      </w:r>
      <w:proofErr w:type="spellStart"/>
      <w:r w:rsidR="007647AA">
        <w:rPr>
          <w:sz w:val="27"/>
          <w:szCs w:val="27"/>
        </w:rPr>
        <w:t>тыс.рублей</w:t>
      </w:r>
      <w:proofErr w:type="spellEnd"/>
      <w:r w:rsidR="007647AA">
        <w:rPr>
          <w:sz w:val="27"/>
          <w:szCs w:val="27"/>
        </w:rPr>
        <w:t xml:space="preserve">, </w:t>
      </w:r>
      <w:r w:rsidR="0007287D">
        <w:rPr>
          <w:sz w:val="27"/>
          <w:szCs w:val="27"/>
        </w:rPr>
        <w:t>а в декабре 2023г средняя цена 1 кв.м.</w:t>
      </w:r>
      <w:r w:rsidR="00EE35AE">
        <w:rPr>
          <w:sz w:val="27"/>
          <w:szCs w:val="27"/>
        </w:rPr>
        <w:t xml:space="preserve"> </w:t>
      </w:r>
      <w:r w:rsidR="007647AA">
        <w:rPr>
          <w:sz w:val="27"/>
          <w:szCs w:val="27"/>
        </w:rPr>
        <w:t>соответствовал</w:t>
      </w:r>
      <w:r w:rsidR="0007287D">
        <w:rPr>
          <w:sz w:val="27"/>
          <w:szCs w:val="27"/>
        </w:rPr>
        <w:t>а</w:t>
      </w:r>
      <w:r w:rsidR="007647AA">
        <w:rPr>
          <w:sz w:val="27"/>
          <w:szCs w:val="27"/>
        </w:rPr>
        <w:t xml:space="preserve"> -</w:t>
      </w:r>
      <w:r w:rsidR="0030657B">
        <w:rPr>
          <w:sz w:val="27"/>
          <w:szCs w:val="27"/>
        </w:rPr>
        <w:t xml:space="preserve"> 117,7 </w:t>
      </w:r>
      <w:proofErr w:type="spellStart"/>
      <w:r w:rsidR="0030657B">
        <w:rPr>
          <w:sz w:val="27"/>
          <w:szCs w:val="27"/>
        </w:rPr>
        <w:t>тыс.рулей</w:t>
      </w:r>
      <w:proofErr w:type="spellEnd"/>
      <w:r w:rsidR="0030657B">
        <w:rPr>
          <w:sz w:val="27"/>
          <w:szCs w:val="27"/>
        </w:rPr>
        <w:t>.</w:t>
      </w:r>
    </w:p>
    <w:p w14:paraId="0ADEDB6E" w14:textId="45BFEF24" w:rsidR="00D95FE0" w:rsidRDefault="0092112A" w:rsidP="00B03419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Как и ранее </w:t>
      </w:r>
      <w:r w:rsidR="004A644F">
        <w:rPr>
          <w:sz w:val="27"/>
          <w:szCs w:val="27"/>
        </w:rPr>
        <w:t>С</w:t>
      </w:r>
      <w:r>
        <w:rPr>
          <w:sz w:val="27"/>
          <w:szCs w:val="27"/>
        </w:rPr>
        <w:t>лужба</w:t>
      </w:r>
      <w:r w:rsidR="00EE35AE">
        <w:rPr>
          <w:sz w:val="27"/>
          <w:szCs w:val="27"/>
        </w:rPr>
        <w:t xml:space="preserve"> </w:t>
      </w:r>
      <w:r w:rsidR="004A644F">
        <w:rPr>
          <w:sz w:val="27"/>
          <w:szCs w:val="27"/>
        </w:rPr>
        <w:t>отме</w:t>
      </w:r>
      <w:r>
        <w:rPr>
          <w:sz w:val="27"/>
          <w:szCs w:val="27"/>
        </w:rPr>
        <w:t>чает</w:t>
      </w:r>
      <w:r w:rsidR="004A644F">
        <w:rPr>
          <w:sz w:val="27"/>
          <w:szCs w:val="27"/>
        </w:rPr>
        <w:t xml:space="preserve">, что </w:t>
      </w:r>
      <w:r w:rsidR="00154A15">
        <w:rPr>
          <w:sz w:val="27"/>
          <w:szCs w:val="27"/>
        </w:rPr>
        <w:t xml:space="preserve">рассчитанный показатель </w:t>
      </w:r>
      <w:r w:rsidR="00D95FE0">
        <w:rPr>
          <w:sz w:val="27"/>
          <w:szCs w:val="27"/>
        </w:rPr>
        <w:t xml:space="preserve">средней цены 1 кв.м. </w:t>
      </w:r>
      <w:r w:rsidR="004A644F">
        <w:rPr>
          <w:sz w:val="27"/>
          <w:szCs w:val="27"/>
        </w:rPr>
        <w:t xml:space="preserve">является приближённым к реальному значению, </w:t>
      </w:r>
      <w:r w:rsidR="00D95FE0">
        <w:rPr>
          <w:sz w:val="27"/>
          <w:szCs w:val="27"/>
        </w:rPr>
        <w:t>не отражает фактическую среднюю рыночную цену</w:t>
      </w:r>
      <w:r w:rsidR="00D96BD7">
        <w:rPr>
          <w:sz w:val="27"/>
          <w:szCs w:val="27"/>
        </w:rPr>
        <w:t xml:space="preserve"> реализации 1 кв.м.</w:t>
      </w:r>
      <w:r>
        <w:rPr>
          <w:sz w:val="27"/>
          <w:szCs w:val="27"/>
        </w:rPr>
        <w:t xml:space="preserve"> для конечного потребителя</w:t>
      </w:r>
      <w:r w:rsidR="00D95FE0">
        <w:rPr>
          <w:sz w:val="27"/>
          <w:szCs w:val="27"/>
        </w:rPr>
        <w:t xml:space="preserve">, </w:t>
      </w:r>
      <w:r w:rsidR="00B03419">
        <w:rPr>
          <w:sz w:val="27"/>
          <w:szCs w:val="27"/>
        </w:rPr>
        <w:t>данными которыми пользуется Служба бер</w:t>
      </w:r>
      <w:r>
        <w:rPr>
          <w:sz w:val="27"/>
          <w:szCs w:val="27"/>
        </w:rPr>
        <w:t>утся</w:t>
      </w:r>
      <w:r w:rsidR="00B03419">
        <w:rPr>
          <w:sz w:val="27"/>
          <w:szCs w:val="27"/>
        </w:rPr>
        <w:t xml:space="preserve"> из открытых источников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(проектные декларации на объекты, размещенные в ЕИСЖС)</w:t>
      </w:r>
      <w:r w:rsidR="00B03419">
        <w:rPr>
          <w:sz w:val="27"/>
          <w:szCs w:val="27"/>
        </w:rPr>
        <w:t>,</w:t>
      </w:r>
      <w:r w:rsidR="004A644F"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>при ее расчете</w:t>
      </w:r>
      <w:r w:rsidR="00B03419">
        <w:rPr>
          <w:sz w:val="27"/>
          <w:szCs w:val="27"/>
        </w:rPr>
        <w:t xml:space="preserve"> в том числе</w:t>
      </w:r>
      <w:r w:rsidR="00EE35AE">
        <w:rPr>
          <w:sz w:val="27"/>
          <w:szCs w:val="27"/>
        </w:rPr>
        <w:t xml:space="preserve"> </w:t>
      </w:r>
      <w:r w:rsidR="00D95FE0">
        <w:rPr>
          <w:sz w:val="27"/>
          <w:szCs w:val="27"/>
        </w:rPr>
        <w:t>учитыва</w:t>
      </w:r>
      <w:r>
        <w:rPr>
          <w:sz w:val="27"/>
          <w:szCs w:val="27"/>
        </w:rPr>
        <w:t>ются</w:t>
      </w:r>
      <w:r w:rsidR="00D95FE0">
        <w:rPr>
          <w:sz w:val="27"/>
          <w:szCs w:val="27"/>
        </w:rPr>
        <w:t xml:space="preserve"> зачетные схемы застройщиков, используемые при покупке земельных участков, оплата по которым проводилась посредством заключения ДДУ по ценам ниже рыночной либо при расчете с подрядными организациями за выполненные работы</w:t>
      </w:r>
      <w:r>
        <w:rPr>
          <w:sz w:val="27"/>
          <w:szCs w:val="27"/>
        </w:rPr>
        <w:t xml:space="preserve"> или предоставленные услуги.</w:t>
      </w:r>
      <w:r w:rsidR="00B03419">
        <w:rPr>
          <w:sz w:val="27"/>
          <w:szCs w:val="27"/>
        </w:rPr>
        <w:t xml:space="preserve"> Реальную цену </w:t>
      </w:r>
      <w:proofErr w:type="spellStart"/>
      <w:r w:rsidR="00B03419">
        <w:rPr>
          <w:sz w:val="27"/>
          <w:szCs w:val="27"/>
        </w:rPr>
        <w:t>кв.метра</w:t>
      </w:r>
      <w:proofErr w:type="spellEnd"/>
      <w:r w:rsidR="00B03419">
        <w:rPr>
          <w:sz w:val="27"/>
          <w:szCs w:val="27"/>
        </w:rPr>
        <w:t xml:space="preserve"> необходимо выводить</w:t>
      </w:r>
      <w:r w:rsidR="00253325">
        <w:rPr>
          <w:sz w:val="27"/>
          <w:szCs w:val="27"/>
        </w:rPr>
        <w:t xml:space="preserve"> в том числе</w:t>
      </w:r>
      <w:r w:rsidR="00B03419">
        <w:rPr>
          <w:sz w:val="27"/>
          <w:szCs w:val="27"/>
        </w:rPr>
        <w:t xml:space="preserve"> с учетом цен по договорам уступок</w:t>
      </w:r>
      <w:r w:rsidR="003E4E37">
        <w:rPr>
          <w:sz w:val="27"/>
          <w:szCs w:val="27"/>
        </w:rPr>
        <w:t xml:space="preserve"> прав требований</w:t>
      </w:r>
      <w:r w:rsidR="00D95FE0">
        <w:rPr>
          <w:sz w:val="27"/>
          <w:szCs w:val="27"/>
        </w:rPr>
        <w:t>.</w:t>
      </w:r>
      <w:r w:rsidR="00B03419">
        <w:rPr>
          <w:sz w:val="27"/>
          <w:szCs w:val="27"/>
        </w:rPr>
        <w:t xml:space="preserve"> Полагаем, что данные значения будут</w:t>
      </w:r>
      <w:r w:rsidR="00253325">
        <w:rPr>
          <w:sz w:val="27"/>
          <w:szCs w:val="27"/>
        </w:rPr>
        <w:t xml:space="preserve"> на</w:t>
      </w:r>
      <w:r w:rsidR="00B03419">
        <w:rPr>
          <w:sz w:val="27"/>
          <w:szCs w:val="27"/>
        </w:rPr>
        <w:t xml:space="preserve"> 10 – 15% выше, чем</w:t>
      </w:r>
      <w:r w:rsidR="00EE35AE">
        <w:rPr>
          <w:sz w:val="27"/>
          <w:szCs w:val="27"/>
        </w:rPr>
        <w:t xml:space="preserve"> </w:t>
      </w:r>
      <w:r w:rsidR="00B03419">
        <w:rPr>
          <w:sz w:val="27"/>
          <w:szCs w:val="27"/>
        </w:rPr>
        <w:t>рассчитанный показатель Службой.</w:t>
      </w:r>
      <w:r w:rsidR="00EE35AE">
        <w:rPr>
          <w:sz w:val="27"/>
          <w:szCs w:val="27"/>
        </w:rPr>
        <w:t xml:space="preserve"> </w:t>
      </w:r>
      <w:r w:rsidR="006E37FF">
        <w:rPr>
          <w:sz w:val="27"/>
          <w:szCs w:val="27"/>
        </w:rPr>
        <w:t>Вместе с тем Красноярский край п</w:t>
      </w:r>
      <w:r w:rsidR="00617003">
        <w:rPr>
          <w:sz w:val="27"/>
          <w:szCs w:val="27"/>
        </w:rPr>
        <w:t xml:space="preserve">о информации портала ЕРЗ.РФ </w:t>
      </w:r>
      <w:r w:rsidR="006E37FF">
        <w:rPr>
          <w:sz w:val="27"/>
          <w:szCs w:val="27"/>
        </w:rPr>
        <w:t>не попал в ТОП 10 регионов</w:t>
      </w:r>
      <w:r w:rsidR="00EE35AE">
        <w:rPr>
          <w:sz w:val="27"/>
          <w:szCs w:val="27"/>
        </w:rPr>
        <w:t xml:space="preserve"> </w:t>
      </w:r>
      <w:r w:rsidR="006E37FF">
        <w:rPr>
          <w:sz w:val="27"/>
          <w:szCs w:val="27"/>
        </w:rPr>
        <w:t>самы</w:t>
      </w:r>
      <w:r w:rsidR="00374487">
        <w:rPr>
          <w:sz w:val="27"/>
          <w:szCs w:val="27"/>
        </w:rPr>
        <w:t>х</w:t>
      </w:r>
      <w:r w:rsidR="006E37FF">
        <w:rPr>
          <w:sz w:val="27"/>
          <w:szCs w:val="27"/>
        </w:rPr>
        <w:t xml:space="preserve"> высоки</w:t>
      </w:r>
      <w:r w:rsidR="00374487">
        <w:rPr>
          <w:sz w:val="27"/>
          <w:szCs w:val="27"/>
        </w:rPr>
        <w:t>х</w:t>
      </w:r>
      <w:r w:rsidR="00EE35AE">
        <w:rPr>
          <w:sz w:val="27"/>
          <w:szCs w:val="27"/>
        </w:rPr>
        <w:t xml:space="preserve"> </w:t>
      </w:r>
      <w:r w:rsidR="00617003">
        <w:rPr>
          <w:sz w:val="27"/>
          <w:szCs w:val="27"/>
        </w:rPr>
        <w:t>цен</w:t>
      </w:r>
      <w:r w:rsidR="006E37FF">
        <w:rPr>
          <w:sz w:val="27"/>
          <w:szCs w:val="27"/>
        </w:rPr>
        <w:t xml:space="preserve"> за</w:t>
      </w:r>
      <w:r w:rsidR="00617003">
        <w:rPr>
          <w:sz w:val="27"/>
          <w:szCs w:val="27"/>
        </w:rPr>
        <w:t xml:space="preserve"> «квадрат» жилья </w:t>
      </w:r>
      <w:r w:rsidR="006E37FF">
        <w:rPr>
          <w:sz w:val="27"/>
          <w:szCs w:val="27"/>
        </w:rPr>
        <w:t>в новостройках</w:t>
      </w:r>
      <w:r w:rsidR="00617003">
        <w:rPr>
          <w:sz w:val="27"/>
          <w:szCs w:val="27"/>
        </w:rPr>
        <w:t xml:space="preserve"> по итогам </w:t>
      </w:r>
      <w:r w:rsidR="0007287D">
        <w:rPr>
          <w:sz w:val="27"/>
          <w:szCs w:val="27"/>
        </w:rPr>
        <w:t>февраля</w:t>
      </w:r>
      <w:r w:rsidR="005E20F0">
        <w:rPr>
          <w:sz w:val="27"/>
          <w:szCs w:val="27"/>
        </w:rPr>
        <w:t xml:space="preserve"> 2024г</w:t>
      </w:r>
      <w:r w:rsidR="00926ADD">
        <w:rPr>
          <w:sz w:val="27"/>
          <w:szCs w:val="27"/>
        </w:rPr>
        <w:t>.</w:t>
      </w:r>
    </w:p>
    <w:p w14:paraId="72876F6A" w14:textId="77777777" w:rsidR="00D76812" w:rsidRDefault="00D76812" w:rsidP="008D2889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14:paraId="650280CB" w14:textId="660ACAAB" w:rsidR="005228D6" w:rsidRDefault="004B4A21" w:rsidP="008D2889">
      <w:pPr>
        <w:pStyle w:val="af0"/>
        <w:ind w:left="709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23F41">
        <w:rPr>
          <w:rFonts w:ascii="Times New Roman" w:hAnsi="Times New Roman" w:cs="Times New Roman"/>
          <w:b/>
          <w:bCs/>
          <w:sz w:val="27"/>
          <w:szCs w:val="27"/>
        </w:rPr>
        <w:t>Динамика средней цен</w:t>
      </w:r>
      <w:r w:rsidR="00CA605D" w:rsidRPr="00223F41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223F4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605D" w:rsidRPr="00223F41">
        <w:rPr>
          <w:rFonts w:ascii="Times New Roman" w:hAnsi="Times New Roman" w:cs="Times New Roman"/>
          <w:b/>
          <w:bCs/>
          <w:sz w:val="27"/>
          <w:szCs w:val="27"/>
        </w:rPr>
        <w:t xml:space="preserve">1 </w:t>
      </w:r>
      <w:r w:rsidRPr="00223F41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="00851078" w:rsidRPr="00223F41">
        <w:rPr>
          <w:rFonts w:ascii="Times New Roman" w:hAnsi="Times New Roman" w:cs="Times New Roman"/>
          <w:b/>
          <w:bCs/>
          <w:sz w:val="27"/>
          <w:szCs w:val="27"/>
        </w:rPr>
        <w:t>в.м.</w:t>
      </w:r>
      <w:r w:rsidRPr="00223F41">
        <w:rPr>
          <w:rFonts w:ascii="Times New Roman" w:hAnsi="Times New Roman" w:cs="Times New Roman"/>
          <w:b/>
          <w:bCs/>
          <w:sz w:val="27"/>
          <w:szCs w:val="27"/>
        </w:rPr>
        <w:t xml:space="preserve"> жилья по ДДУ</w:t>
      </w:r>
    </w:p>
    <w:p w14:paraId="33841852" w14:textId="77777777" w:rsidR="007F3D58" w:rsidRPr="000917C0" w:rsidRDefault="007F3D58" w:rsidP="008D2889">
      <w:pPr>
        <w:pStyle w:val="af0"/>
        <w:ind w:left="709"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28909155" w14:textId="54CC1754" w:rsidR="003E4E37" w:rsidRDefault="00D0512D" w:rsidP="00223F41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34A7DDCA" wp14:editId="249BA03D">
            <wp:extent cx="5515337" cy="2818435"/>
            <wp:effectExtent l="0" t="0" r="9525" b="1270"/>
            <wp:docPr id="164259672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25BAC17-B1A9-48A5-88A1-505B016952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11167E" w14:textId="77777777" w:rsidR="00645D2E" w:rsidRDefault="00645D2E" w:rsidP="005228D6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FD3F986" w14:textId="724D620A" w:rsidR="004B4A21" w:rsidRDefault="004B4A21" w:rsidP="005228D6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>Сам</w:t>
      </w:r>
      <w:r w:rsidR="00460A33" w:rsidRPr="007D42C6">
        <w:rPr>
          <w:rFonts w:ascii="Times New Roman" w:hAnsi="Times New Roman" w:cs="Times New Roman"/>
          <w:sz w:val="27"/>
          <w:szCs w:val="27"/>
        </w:rPr>
        <w:t>ые</w:t>
      </w:r>
      <w:r w:rsidRPr="007D42C6">
        <w:rPr>
          <w:rFonts w:ascii="Times New Roman" w:hAnsi="Times New Roman" w:cs="Times New Roman"/>
          <w:sz w:val="27"/>
          <w:szCs w:val="27"/>
        </w:rPr>
        <w:t xml:space="preserve"> высок</w:t>
      </w:r>
      <w:r w:rsidR="00460A33" w:rsidRPr="007D42C6">
        <w:rPr>
          <w:rFonts w:ascii="Times New Roman" w:hAnsi="Times New Roman" w:cs="Times New Roman"/>
          <w:sz w:val="27"/>
          <w:szCs w:val="27"/>
        </w:rPr>
        <w:t>ие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E36128">
        <w:rPr>
          <w:rFonts w:ascii="Times New Roman" w:hAnsi="Times New Roman" w:cs="Times New Roman"/>
          <w:sz w:val="27"/>
          <w:szCs w:val="27"/>
        </w:rPr>
        <w:t xml:space="preserve">средние </w:t>
      </w:r>
      <w:r w:rsidRPr="007D42C6">
        <w:rPr>
          <w:rFonts w:ascii="Times New Roman" w:hAnsi="Times New Roman" w:cs="Times New Roman"/>
          <w:sz w:val="27"/>
          <w:szCs w:val="27"/>
        </w:rPr>
        <w:t>цен</w:t>
      </w:r>
      <w:r w:rsidR="00460A33" w:rsidRPr="007D42C6">
        <w:rPr>
          <w:rFonts w:ascii="Times New Roman" w:hAnsi="Times New Roman" w:cs="Times New Roman"/>
          <w:sz w:val="27"/>
          <w:szCs w:val="27"/>
        </w:rPr>
        <w:t>ы</w:t>
      </w:r>
      <w:r w:rsidRPr="007D42C6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CA605D" w:rsidRPr="007D42C6">
        <w:rPr>
          <w:rFonts w:ascii="Times New Roman" w:hAnsi="Times New Roman" w:cs="Times New Roman"/>
          <w:sz w:val="27"/>
          <w:szCs w:val="27"/>
        </w:rPr>
        <w:t>квадратного метра жилья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4B0DF0">
        <w:rPr>
          <w:rFonts w:ascii="Times New Roman" w:hAnsi="Times New Roman" w:cs="Times New Roman"/>
          <w:sz w:val="27"/>
          <w:szCs w:val="27"/>
        </w:rPr>
        <w:t>продолжают держать застройщики, входящие в ГК «</w:t>
      </w:r>
      <w:proofErr w:type="spellStart"/>
      <w:r w:rsidR="004B0DF0">
        <w:rPr>
          <w:rFonts w:ascii="Times New Roman" w:hAnsi="Times New Roman" w:cs="Times New Roman"/>
          <w:sz w:val="27"/>
          <w:szCs w:val="27"/>
        </w:rPr>
        <w:t>Арбан</w:t>
      </w:r>
      <w:proofErr w:type="spellEnd"/>
      <w:r w:rsidR="004B0DF0">
        <w:rPr>
          <w:rFonts w:ascii="Times New Roman" w:hAnsi="Times New Roman" w:cs="Times New Roman"/>
          <w:sz w:val="27"/>
          <w:szCs w:val="27"/>
        </w:rPr>
        <w:t xml:space="preserve">», здесь стоимость квадратного метра в отдельных объектах перешагнула отметку в 180 </w:t>
      </w:r>
      <w:proofErr w:type="spellStart"/>
      <w:r w:rsidR="004B0DF0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4B0DF0">
        <w:rPr>
          <w:rFonts w:ascii="Times New Roman" w:hAnsi="Times New Roman" w:cs="Times New Roman"/>
          <w:sz w:val="27"/>
          <w:szCs w:val="27"/>
        </w:rPr>
        <w:t xml:space="preserve"> за квадрат, также отмечаются высоки цены </w:t>
      </w:r>
      <w:r w:rsidR="0030657B">
        <w:rPr>
          <w:rFonts w:ascii="Times New Roman" w:hAnsi="Times New Roman" w:cs="Times New Roman"/>
          <w:sz w:val="27"/>
          <w:szCs w:val="27"/>
        </w:rPr>
        <w:t>в объектах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B07AC9">
        <w:rPr>
          <w:rFonts w:ascii="Times New Roman" w:hAnsi="Times New Roman" w:cs="Times New Roman"/>
          <w:sz w:val="27"/>
          <w:szCs w:val="27"/>
        </w:rPr>
        <w:t>ООО СЗ «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Новоостровский</w:t>
      </w:r>
      <w:proofErr w:type="spellEnd"/>
      <w:r w:rsidR="00B07AC9">
        <w:rPr>
          <w:rFonts w:ascii="Times New Roman" w:hAnsi="Times New Roman" w:cs="Times New Roman"/>
          <w:sz w:val="27"/>
          <w:szCs w:val="27"/>
        </w:rPr>
        <w:t>»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B07AC9">
        <w:rPr>
          <w:rFonts w:ascii="Times New Roman" w:hAnsi="Times New Roman" w:cs="Times New Roman"/>
          <w:sz w:val="27"/>
          <w:szCs w:val="27"/>
        </w:rPr>
        <w:t>в ЖК «</w:t>
      </w:r>
      <w:r w:rsidR="00804BF6">
        <w:rPr>
          <w:rFonts w:ascii="Times New Roman" w:hAnsi="Times New Roman" w:cs="Times New Roman"/>
          <w:sz w:val="27"/>
          <w:szCs w:val="27"/>
        </w:rPr>
        <w:t>Бизнес квартал»</w:t>
      </w:r>
      <w:r w:rsidR="00B07AC9">
        <w:rPr>
          <w:rFonts w:ascii="Times New Roman" w:hAnsi="Times New Roman" w:cs="Times New Roman"/>
          <w:sz w:val="27"/>
          <w:szCs w:val="27"/>
        </w:rPr>
        <w:t xml:space="preserve"> - от 1</w:t>
      </w:r>
      <w:r w:rsidR="004B0DF0">
        <w:rPr>
          <w:rFonts w:ascii="Times New Roman" w:hAnsi="Times New Roman" w:cs="Times New Roman"/>
          <w:sz w:val="27"/>
          <w:szCs w:val="27"/>
        </w:rPr>
        <w:t>67,3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07AC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9662F0">
        <w:rPr>
          <w:rFonts w:ascii="Times New Roman" w:hAnsi="Times New Roman" w:cs="Times New Roman"/>
          <w:sz w:val="27"/>
          <w:szCs w:val="27"/>
        </w:rPr>
        <w:t>;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804BF6">
        <w:rPr>
          <w:rFonts w:ascii="Times New Roman" w:hAnsi="Times New Roman" w:cs="Times New Roman"/>
          <w:sz w:val="27"/>
          <w:szCs w:val="27"/>
        </w:rPr>
        <w:t>у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D82230">
        <w:rPr>
          <w:rFonts w:ascii="Times New Roman" w:hAnsi="Times New Roman" w:cs="Times New Roman"/>
          <w:sz w:val="27"/>
          <w:szCs w:val="27"/>
        </w:rPr>
        <w:t>ГК «</w:t>
      </w:r>
      <w:r w:rsidR="00B07AC9">
        <w:rPr>
          <w:rFonts w:ascii="Times New Roman" w:hAnsi="Times New Roman" w:cs="Times New Roman"/>
          <w:sz w:val="27"/>
          <w:szCs w:val="27"/>
        </w:rPr>
        <w:t>СМ-Сити</w:t>
      </w:r>
      <w:r w:rsidR="00D82230">
        <w:rPr>
          <w:rFonts w:ascii="Times New Roman" w:hAnsi="Times New Roman" w:cs="Times New Roman"/>
          <w:sz w:val="27"/>
          <w:szCs w:val="27"/>
        </w:rPr>
        <w:t>»</w:t>
      </w:r>
      <w:r w:rsidR="00B07AC9">
        <w:rPr>
          <w:rFonts w:ascii="Times New Roman" w:hAnsi="Times New Roman" w:cs="Times New Roman"/>
          <w:sz w:val="27"/>
          <w:szCs w:val="27"/>
        </w:rPr>
        <w:t xml:space="preserve"> в ЖК «Южный берег</w:t>
      </w:r>
      <w:r w:rsidR="005E20F0">
        <w:rPr>
          <w:rFonts w:ascii="Times New Roman" w:hAnsi="Times New Roman" w:cs="Times New Roman"/>
          <w:sz w:val="27"/>
          <w:szCs w:val="27"/>
        </w:rPr>
        <w:t>-</w:t>
      </w:r>
      <w:r w:rsidR="00B07AC9">
        <w:rPr>
          <w:rFonts w:ascii="Times New Roman" w:hAnsi="Times New Roman" w:cs="Times New Roman"/>
          <w:sz w:val="27"/>
          <w:szCs w:val="27"/>
        </w:rPr>
        <w:t xml:space="preserve"> 21,24»</w:t>
      </w:r>
      <w:r w:rsidR="004B0DF0">
        <w:rPr>
          <w:rFonts w:ascii="Times New Roman" w:hAnsi="Times New Roman" w:cs="Times New Roman"/>
          <w:sz w:val="27"/>
          <w:szCs w:val="27"/>
        </w:rPr>
        <w:t xml:space="preserve"> - 163,5 </w:t>
      </w:r>
      <w:proofErr w:type="spellStart"/>
      <w:r w:rsidR="004B0DF0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  <w:r w:rsidR="004B0DF0">
        <w:rPr>
          <w:rFonts w:ascii="Times New Roman" w:hAnsi="Times New Roman" w:cs="Times New Roman"/>
          <w:sz w:val="27"/>
          <w:szCs w:val="27"/>
        </w:rPr>
        <w:t>.</w:t>
      </w:r>
    </w:p>
    <w:p w14:paraId="0331E9F7" w14:textId="7DAC02DA" w:rsidR="00E36128" w:rsidRPr="00A328C3" w:rsidRDefault="00982CCF" w:rsidP="00982CCF">
      <w:pPr>
        <w:ind w:firstLine="708"/>
        <w:jc w:val="both"/>
        <w:rPr>
          <w:color w:val="000000"/>
          <w:sz w:val="27"/>
          <w:szCs w:val="27"/>
        </w:rPr>
      </w:pPr>
      <w:r w:rsidRPr="00A328C3">
        <w:rPr>
          <w:sz w:val="27"/>
          <w:szCs w:val="27"/>
        </w:rPr>
        <w:t>С</w:t>
      </w:r>
      <w:r w:rsidR="00E36128" w:rsidRPr="00A328C3">
        <w:rPr>
          <w:sz w:val="27"/>
          <w:szCs w:val="27"/>
        </w:rPr>
        <w:t>амы</w:t>
      </w:r>
      <w:r w:rsidR="00306B90"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низки</w:t>
      </w:r>
      <w:r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средни</w:t>
      </w:r>
      <w:r w:rsidRPr="00A328C3">
        <w:rPr>
          <w:sz w:val="27"/>
          <w:szCs w:val="27"/>
        </w:rPr>
        <w:t>е</w:t>
      </w:r>
      <w:r w:rsidR="00E36128" w:rsidRPr="00A328C3">
        <w:rPr>
          <w:sz w:val="27"/>
          <w:szCs w:val="27"/>
        </w:rPr>
        <w:t xml:space="preserve"> цен</w:t>
      </w:r>
      <w:r w:rsidRPr="00A328C3">
        <w:rPr>
          <w:sz w:val="27"/>
          <w:szCs w:val="27"/>
        </w:rPr>
        <w:t>ы</w:t>
      </w:r>
      <w:r w:rsidR="00E36128" w:rsidRPr="00A328C3">
        <w:rPr>
          <w:sz w:val="27"/>
          <w:szCs w:val="27"/>
        </w:rPr>
        <w:t xml:space="preserve"> </w:t>
      </w:r>
      <w:r w:rsidR="00321CFA" w:rsidRPr="00A328C3">
        <w:rPr>
          <w:sz w:val="27"/>
          <w:szCs w:val="27"/>
        </w:rPr>
        <w:t>по объектам в г. Красноярск</w:t>
      </w:r>
      <w:r w:rsidR="00061BB3" w:rsidRPr="00A328C3">
        <w:rPr>
          <w:sz w:val="27"/>
          <w:szCs w:val="27"/>
        </w:rPr>
        <w:t>е</w:t>
      </w:r>
      <w:r w:rsidR="0030657B" w:rsidRPr="00A328C3">
        <w:rPr>
          <w:sz w:val="27"/>
          <w:szCs w:val="27"/>
        </w:rPr>
        <w:t xml:space="preserve"> </w:t>
      </w:r>
      <w:r w:rsidRPr="00A328C3">
        <w:rPr>
          <w:sz w:val="27"/>
          <w:szCs w:val="27"/>
        </w:rPr>
        <w:t>фиксирова</w:t>
      </w:r>
      <w:r w:rsidR="0030657B" w:rsidRPr="00A328C3">
        <w:rPr>
          <w:sz w:val="27"/>
          <w:szCs w:val="27"/>
        </w:rPr>
        <w:t>лись</w:t>
      </w:r>
      <w:r w:rsidRPr="00A328C3">
        <w:rPr>
          <w:sz w:val="27"/>
          <w:szCs w:val="27"/>
        </w:rPr>
        <w:t xml:space="preserve"> у </w:t>
      </w:r>
      <w:r w:rsidR="00E36128" w:rsidRPr="00A328C3">
        <w:rPr>
          <w:sz w:val="27"/>
          <w:szCs w:val="27"/>
        </w:rPr>
        <w:t>застройщик</w:t>
      </w:r>
      <w:r w:rsidRPr="00A328C3">
        <w:rPr>
          <w:sz w:val="27"/>
          <w:szCs w:val="27"/>
        </w:rPr>
        <w:t>а</w:t>
      </w:r>
      <w:r w:rsidR="00EE35AE">
        <w:rPr>
          <w:sz w:val="27"/>
          <w:szCs w:val="27"/>
        </w:rPr>
        <w:t xml:space="preserve"> </w:t>
      </w:r>
      <w:r w:rsidR="004B0DF0">
        <w:rPr>
          <w:sz w:val="27"/>
          <w:szCs w:val="27"/>
        </w:rPr>
        <w:t>ООО «</w:t>
      </w:r>
      <w:proofErr w:type="spellStart"/>
      <w:r w:rsidR="004B0DF0">
        <w:rPr>
          <w:sz w:val="27"/>
          <w:szCs w:val="27"/>
        </w:rPr>
        <w:t>Стройкомплюс</w:t>
      </w:r>
      <w:proofErr w:type="spellEnd"/>
      <w:r w:rsidR="004B0DF0">
        <w:rPr>
          <w:sz w:val="27"/>
          <w:szCs w:val="27"/>
        </w:rPr>
        <w:t xml:space="preserve">» - 93,2 </w:t>
      </w:r>
      <w:proofErr w:type="spellStart"/>
      <w:r w:rsidR="004B0DF0">
        <w:rPr>
          <w:sz w:val="27"/>
          <w:szCs w:val="27"/>
        </w:rPr>
        <w:t>тыс.рублей</w:t>
      </w:r>
      <w:proofErr w:type="spellEnd"/>
      <w:r w:rsidR="00CC13FD">
        <w:rPr>
          <w:sz w:val="27"/>
          <w:szCs w:val="27"/>
        </w:rPr>
        <w:t>;</w:t>
      </w:r>
      <w:r w:rsidR="004B0DF0">
        <w:rPr>
          <w:sz w:val="27"/>
          <w:szCs w:val="27"/>
        </w:rPr>
        <w:t xml:space="preserve"> на начальном этапе в объектах ООО СЗ «КБС-Центральный»</w:t>
      </w:r>
      <w:r w:rsidR="00EE35AE">
        <w:rPr>
          <w:sz w:val="27"/>
          <w:szCs w:val="27"/>
        </w:rPr>
        <w:t xml:space="preserve"> </w:t>
      </w:r>
      <w:r w:rsidR="004B0DF0">
        <w:rPr>
          <w:sz w:val="27"/>
          <w:szCs w:val="27"/>
        </w:rPr>
        <w:t>в ЖК «Мичуринский»</w:t>
      </w:r>
      <w:r w:rsidR="00EE35AE">
        <w:rPr>
          <w:sz w:val="27"/>
          <w:szCs w:val="27"/>
        </w:rPr>
        <w:t xml:space="preserve"> </w:t>
      </w:r>
      <w:r w:rsidR="004B0DF0">
        <w:rPr>
          <w:sz w:val="27"/>
          <w:szCs w:val="27"/>
        </w:rPr>
        <w:t xml:space="preserve">- 96 – 98 </w:t>
      </w:r>
      <w:proofErr w:type="spellStart"/>
      <w:r w:rsidR="004B0DF0">
        <w:rPr>
          <w:sz w:val="27"/>
          <w:szCs w:val="27"/>
        </w:rPr>
        <w:t>тыс.рублей</w:t>
      </w:r>
      <w:proofErr w:type="spellEnd"/>
      <w:r w:rsidR="004B0DF0">
        <w:rPr>
          <w:sz w:val="27"/>
          <w:szCs w:val="27"/>
        </w:rPr>
        <w:t xml:space="preserve"> за квадрат</w:t>
      </w:r>
      <w:r w:rsidR="00CC13FD">
        <w:rPr>
          <w:sz w:val="27"/>
          <w:szCs w:val="27"/>
        </w:rPr>
        <w:t>;</w:t>
      </w:r>
      <w:r w:rsidR="004B0DF0">
        <w:rPr>
          <w:sz w:val="27"/>
          <w:szCs w:val="27"/>
        </w:rPr>
        <w:t xml:space="preserve"> ООО СЗ «ДС» в </w:t>
      </w:r>
      <w:proofErr w:type="spellStart"/>
      <w:r w:rsidR="004B0DF0">
        <w:rPr>
          <w:sz w:val="27"/>
          <w:szCs w:val="27"/>
        </w:rPr>
        <w:t>мкр.Солнечный</w:t>
      </w:r>
      <w:proofErr w:type="spellEnd"/>
      <w:r w:rsidR="004B0DF0">
        <w:rPr>
          <w:sz w:val="27"/>
          <w:szCs w:val="27"/>
        </w:rPr>
        <w:t xml:space="preserve"> – 100,9 </w:t>
      </w:r>
      <w:proofErr w:type="spellStart"/>
      <w:r w:rsidR="004B0DF0">
        <w:rPr>
          <w:sz w:val="27"/>
          <w:szCs w:val="27"/>
        </w:rPr>
        <w:t>тыс.рублей</w:t>
      </w:r>
      <w:proofErr w:type="spellEnd"/>
      <w:r w:rsidR="004B0DF0">
        <w:rPr>
          <w:sz w:val="27"/>
          <w:szCs w:val="27"/>
        </w:rPr>
        <w:t xml:space="preserve"> за квадрат</w:t>
      </w:r>
      <w:r w:rsidR="00645D2E">
        <w:rPr>
          <w:sz w:val="27"/>
          <w:szCs w:val="27"/>
        </w:rPr>
        <w:t xml:space="preserve">. </w:t>
      </w:r>
    </w:p>
    <w:p w14:paraId="6DDF695A" w14:textId="6B8295DE" w:rsidR="007D42C6" w:rsidRPr="007D42C6" w:rsidRDefault="009662F0" w:rsidP="00764EA2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C52901">
        <w:rPr>
          <w:rFonts w:ascii="Times New Roman" w:hAnsi="Times New Roman" w:cs="Times New Roman"/>
          <w:sz w:val="27"/>
          <w:szCs w:val="27"/>
        </w:rPr>
        <w:t xml:space="preserve">уммарный размер </w:t>
      </w:r>
      <w:r w:rsidR="005E20F0">
        <w:rPr>
          <w:rFonts w:ascii="Times New Roman" w:hAnsi="Times New Roman" w:cs="Times New Roman"/>
          <w:sz w:val="27"/>
          <w:szCs w:val="27"/>
        </w:rPr>
        <w:t xml:space="preserve">цены всех </w:t>
      </w:r>
      <w:r w:rsidR="002C7674">
        <w:rPr>
          <w:rFonts w:ascii="Times New Roman" w:hAnsi="Times New Roman" w:cs="Times New Roman"/>
          <w:sz w:val="27"/>
          <w:szCs w:val="27"/>
        </w:rPr>
        <w:t xml:space="preserve">заключенных </w:t>
      </w:r>
      <w:r w:rsidR="00DE32E9">
        <w:rPr>
          <w:rFonts w:ascii="Times New Roman" w:hAnsi="Times New Roman" w:cs="Times New Roman"/>
          <w:sz w:val="27"/>
          <w:szCs w:val="27"/>
        </w:rPr>
        <w:t>ДДУ</w:t>
      </w:r>
      <w:r w:rsidR="00D744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691D2B">
        <w:rPr>
          <w:rFonts w:ascii="Times New Roman" w:hAnsi="Times New Roman" w:cs="Times New Roman"/>
          <w:sz w:val="27"/>
          <w:szCs w:val="27"/>
        </w:rPr>
        <w:t>феврале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1D2B">
        <w:rPr>
          <w:rFonts w:ascii="Times New Roman" w:hAnsi="Times New Roman" w:cs="Times New Roman"/>
          <w:sz w:val="27"/>
          <w:szCs w:val="27"/>
        </w:rPr>
        <w:t>2024г.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CC13FD">
        <w:rPr>
          <w:rFonts w:ascii="Times New Roman" w:hAnsi="Times New Roman" w:cs="Times New Roman"/>
          <w:sz w:val="27"/>
          <w:szCs w:val="27"/>
        </w:rPr>
        <w:t xml:space="preserve">в отношении жилых помещений </w:t>
      </w:r>
      <w:r>
        <w:rPr>
          <w:rFonts w:ascii="Times New Roman" w:hAnsi="Times New Roman" w:cs="Times New Roman"/>
          <w:sz w:val="27"/>
          <w:szCs w:val="27"/>
        </w:rPr>
        <w:t>составил</w:t>
      </w:r>
      <w:r w:rsidR="00691D2B">
        <w:rPr>
          <w:rFonts w:ascii="Times New Roman" w:hAnsi="Times New Roman" w:cs="Times New Roman"/>
          <w:sz w:val="27"/>
          <w:szCs w:val="27"/>
        </w:rPr>
        <w:t xml:space="preserve"> </w:t>
      </w:r>
      <w:r w:rsidR="00691D2B" w:rsidRPr="00691D2B">
        <w:rPr>
          <w:rFonts w:ascii="Times New Roman" w:hAnsi="Times New Roman" w:cs="Times New Roman"/>
          <w:b/>
          <w:bCs/>
          <w:sz w:val="27"/>
          <w:szCs w:val="27"/>
        </w:rPr>
        <w:t>2,686</w:t>
      </w:r>
      <w:r w:rsidR="00691D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691D2B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proofErr w:type="gramEnd"/>
      <w:r w:rsidR="00691D2B">
        <w:rPr>
          <w:rFonts w:ascii="Times New Roman" w:hAnsi="Times New Roman" w:cs="Times New Roman"/>
          <w:sz w:val="27"/>
          <w:szCs w:val="27"/>
        </w:rPr>
        <w:t>, что на 32% меньше показателей января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1D2B">
        <w:rPr>
          <w:rFonts w:ascii="Times New Roman" w:hAnsi="Times New Roman" w:cs="Times New Roman"/>
          <w:sz w:val="27"/>
          <w:szCs w:val="27"/>
        </w:rPr>
        <w:t>3,</w:t>
      </w:r>
      <w:r w:rsidR="007F3901" w:rsidRPr="00691D2B">
        <w:rPr>
          <w:rFonts w:ascii="Times New Roman" w:hAnsi="Times New Roman" w:cs="Times New Roman"/>
          <w:sz w:val="27"/>
          <w:szCs w:val="27"/>
        </w:rPr>
        <w:t>955</w:t>
      </w:r>
      <w:r w:rsidR="007F39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3901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7F3901">
        <w:rPr>
          <w:rFonts w:ascii="Times New Roman" w:hAnsi="Times New Roman" w:cs="Times New Roman"/>
          <w:sz w:val="27"/>
          <w:szCs w:val="27"/>
        </w:rPr>
        <w:t>,</w:t>
      </w:r>
      <w:r w:rsidR="00691D2B">
        <w:rPr>
          <w:rFonts w:ascii="Times New Roman" w:hAnsi="Times New Roman" w:cs="Times New Roman"/>
          <w:sz w:val="27"/>
          <w:szCs w:val="27"/>
        </w:rPr>
        <w:t xml:space="preserve"> и 2,3 раза меньше</w:t>
      </w:r>
      <w:r w:rsidR="007F3901">
        <w:rPr>
          <w:rFonts w:ascii="Times New Roman" w:hAnsi="Times New Roman" w:cs="Times New Roman"/>
          <w:sz w:val="27"/>
          <w:szCs w:val="27"/>
        </w:rPr>
        <w:t xml:space="preserve"> показателей декабря 2023г. (</w:t>
      </w:r>
      <w:r w:rsidR="00DE32E9" w:rsidRPr="002C7674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2C7674" w:rsidRPr="002C7674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D74444" w:rsidRPr="002C7674">
        <w:rPr>
          <w:rFonts w:ascii="Times New Roman" w:hAnsi="Times New Roman" w:cs="Times New Roman"/>
          <w:b/>
          <w:bCs/>
          <w:sz w:val="27"/>
          <w:szCs w:val="27"/>
        </w:rPr>
        <w:t>173</w:t>
      </w:r>
      <w:r w:rsidR="00DE32E9" w:rsidRPr="002C76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E32E9" w:rsidRPr="002C7674">
        <w:rPr>
          <w:rFonts w:ascii="Times New Roman" w:hAnsi="Times New Roman" w:cs="Times New Roman"/>
          <w:sz w:val="27"/>
          <w:szCs w:val="27"/>
        </w:rPr>
        <w:t>мл</w:t>
      </w:r>
      <w:r w:rsidR="002C7674">
        <w:rPr>
          <w:rFonts w:ascii="Times New Roman" w:hAnsi="Times New Roman" w:cs="Times New Roman"/>
          <w:sz w:val="27"/>
          <w:szCs w:val="27"/>
        </w:rPr>
        <w:t>рд</w:t>
      </w:r>
      <w:r w:rsidR="00DE32E9" w:rsidRPr="002C7674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7F3901">
        <w:rPr>
          <w:rFonts w:ascii="Times New Roman" w:hAnsi="Times New Roman" w:cs="Times New Roman"/>
          <w:sz w:val="27"/>
          <w:szCs w:val="27"/>
        </w:rPr>
        <w:t>).</w:t>
      </w:r>
      <w:r w:rsidR="00DE32E9">
        <w:rPr>
          <w:rFonts w:ascii="Times New Roman" w:hAnsi="Times New Roman" w:cs="Times New Roman"/>
          <w:sz w:val="27"/>
          <w:szCs w:val="27"/>
        </w:rPr>
        <w:t xml:space="preserve"> </w:t>
      </w:r>
      <w:r w:rsidR="002C7674">
        <w:rPr>
          <w:rFonts w:ascii="Times New Roman" w:hAnsi="Times New Roman" w:cs="Times New Roman"/>
          <w:sz w:val="27"/>
          <w:szCs w:val="27"/>
        </w:rPr>
        <w:t>Суммарный объем обязательств по всем действующим ДДУ заключенным в отношении</w:t>
      </w:r>
      <w:r w:rsidR="00691D2B">
        <w:rPr>
          <w:rFonts w:ascii="Times New Roman" w:hAnsi="Times New Roman" w:cs="Times New Roman"/>
          <w:sz w:val="27"/>
          <w:szCs w:val="27"/>
        </w:rPr>
        <w:t xml:space="preserve"> жилых помещений</w:t>
      </w:r>
      <w:r w:rsidR="002C7674">
        <w:rPr>
          <w:rFonts w:ascii="Times New Roman" w:hAnsi="Times New Roman" w:cs="Times New Roman"/>
          <w:sz w:val="27"/>
          <w:szCs w:val="27"/>
        </w:rPr>
        <w:t xml:space="preserve">, строительство которых не завершено, по состоянию на </w:t>
      </w:r>
      <w:r w:rsidR="00691D2B">
        <w:rPr>
          <w:rFonts w:ascii="Times New Roman" w:hAnsi="Times New Roman" w:cs="Times New Roman"/>
          <w:sz w:val="27"/>
          <w:szCs w:val="27"/>
        </w:rPr>
        <w:t>29</w:t>
      </w:r>
      <w:r w:rsidR="002C7674">
        <w:rPr>
          <w:rFonts w:ascii="Times New Roman" w:hAnsi="Times New Roman" w:cs="Times New Roman"/>
          <w:sz w:val="27"/>
          <w:szCs w:val="27"/>
        </w:rPr>
        <w:t>.</w:t>
      </w:r>
      <w:r w:rsidR="007F3901">
        <w:rPr>
          <w:rFonts w:ascii="Times New Roman" w:hAnsi="Times New Roman" w:cs="Times New Roman"/>
          <w:sz w:val="27"/>
          <w:szCs w:val="27"/>
        </w:rPr>
        <w:t>0</w:t>
      </w:r>
      <w:r w:rsidR="00691D2B">
        <w:rPr>
          <w:rFonts w:ascii="Times New Roman" w:hAnsi="Times New Roman" w:cs="Times New Roman"/>
          <w:sz w:val="27"/>
          <w:szCs w:val="27"/>
        </w:rPr>
        <w:t>2</w:t>
      </w:r>
      <w:r w:rsidR="002C7674">
        <w:rPr>
          <w:rFonts w:ascii="Times New Roman" w:hAnsi="Times New Roman" w:cs="Times New Roman"/>
          <w:sz w:val="27"/>
          <w:szCs w:val="27"/>
        </w:rPr>
        <w:t>.202</w:t>
      </w:r>
      <w:r w:rsidR="007F3901">
        <w:rPr>
          <w:rFonts w:ascii="Times New Roman" w:hAnsi="Times New Roman" w:cs="Times New Roman"/>
          <w:sz w:val="27"/>
          <w:szCs w:val="27"/>
        </w:rPr>
        <w:t>4</w:t>
      </w:r>
      <w:r w:rsidR="002C7674">
        <w:rPr>
          <w:rFonts w:ascii="Times New Roman" w:hAnsi="Times New Roman" w:cs="Times New Roman"/>
          <w:sz w:val="27"/>
          <w:szCs w:val="27"/>
        </w:rPr>
        <w:t xml:space="preserve"> составил </w:t>
      </w:r>
      <w:r w:rsidR="002C7674" w:rsidRPr="007A4D98">
        <w:rPr>
          <w:rFonts w:ascii="Times New Roman" w:hAnsi="Times New Roman" w:cs="Times New Roman"/>
          <w:b/>
          <w:bCs/>
          <w:sz w:val="27"/>
          <w:szCs w:val="27"/>
        </w:rPr>
        <w:lastRenderedPageBreak/>
        <w:t>58,</w:t>
      </w:r>
      <w:r w:rsidR="00691D2B">
        <w:rPr>
          <w:rFonts w:ascii="Times New Roman" w:hAnsi="Times New Roman" w:cs="Times New Roman"/>
          <w:b/>
          <w:bCs/>
          <w:sz w:val="27"/>
          <w:szCs w:val="27"/>
        </w:rPr>
        <w:t>235</w:t>
      </w:r>
      <w:r w:rsidR="002C76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C7674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691D2B">
        <w:rPr>
          <w:rFonts w:ascii="Times New Roman" w:hAnsi="Times New Roman" w:cs="Times New Roman"/>
          <w:sz w:val="27"/>
          <w:szCs w:val="27"/>
        </w:rPr>
        <w:t xml:space="preserve">. С учетом нежилых помещений суммарный размер всех обязательств застройщиков по итогам февраля оценивается </w:t>
      </w:r>
      <w:r w:rsidR="00691D2B" w:rsidRPr="0064222E">
        <w:rPr>
          <w:rFonts w:ascii="Times New Roman" w:hAnsi="Times New Roman" w:cs="Times New Roman"/>
          <w:b/>
          <w:bCs/>
          <w:sz w:val="27"/>
          <w:szCs w:val="27"/>
        </w:rPr>
        <w:t>61,095</w:t>
      </w:r>
      <w:r w:rsidR="00691D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1D2B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691D2B">
        <w:rPr>
          <w:rFonts w:ascii="Times New Roman" w:hAnsi="Times New Roman" w:cs="Times New Roman"/>
          <w:sz w:val="27"/>
          <w:szCs w:val="27"/>
        </w:rPr>
        <w:t>.</w:t>
      </w:r>
    </w:p>
    <w:p w14:paraId="5CB6EE99" w14:textId="77777777" w:rsidR="007F3D58" w:rsidRDefault="007F3D58" w:rsidP="007F3D58">
      <w:pPr>
        <w:pStyle w:val="af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B6834E2" w14:textId="7756EC5F" w:rsidR="007F3D58" w:rsidRDefault="00CA0371" w:rsidP="007F3D58">
      <w:pPr>
        <w:pStyle w:val="af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A52B1">
        <w:rPr>
          <w:rFonts w:ascii="Times New Roman" w:hAnsi="Times New Roman" w:cs="Times New Roman"/>
          <w:b/>
          <w:bCs/>
          <w:sz w:val="27"/>
          <w:szCs w:val="27"/>
        </w:rPr>
        <w:t>Суммарный размер стоимости заключенных ДДУ</w:t>
      </w:r>
    </w:p>
    <w:p w14:paraId="32C39582" w14:textId="1095A477" w:rsidR="006B6E30" w:rsidRPr="008665DA" w:rsidRDefault="007F3D58" w:rsidP="007F3D58">
      <w:pPr>
        <w:pStyle w:val="af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 жилым помещениям,</w:t>
      </w:r>
      <w:r w:rsidR="00EE35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033C4" w:rsidRPr="00EA52B1">
        <w:rPr>
          <w:rFonts w:ascii="Times New Roman" w:hAnsi="Times New Roman" w:cs="Times New Roman"/>
          <w:b/>
          <w:bCs/>
          <w:sz w:val="27"/>
          <w:szCs w:val="27"/>
        </w:rPr>
        <w:t>по</w:t>
      </w:r>
      <w:r w:rsidR="00CA0371" w:rsidRPr="00EA52B1">
        <w:rPr>
          <w:rFonts w:ascii="Times New Roman" w:hAnsi="Times New Roman" w:cs="Times New Roman"/>
          <w:b/>
          <w:bCs/>
          <w:sz w:val="27"/>
          <w:szCs w:val="27"/>
        </w:rPr>
        <w:t xml:space="preserve"> период</w:t>
      </w:r>
      <w:r w:rsidR="002033C4" w:rsidRPr="00EA52B1">
        <w:rPr>
          <w:rFonts w:ascii="Times New Roman" w:hAnsi="Times New Roman" w:cs="Times New Roman"/>
          <w:b/>
          <w:bCs/>
          <w:sz w:val="27"/>
          <w:szCs w:val="27"/>
        </w:rPr>
        <w:t>ам</w:t>
      </w:r>
    </w:p>
    <w:p w14:paraId="6D0657D1" w14:textId="46346615" w:rsidR="008D2889" w:rsidRDefault="00476517" w:rsidP="00EA52B1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633D1A34" wp14:editId="72D3C9B6">
            <wp:extent cx="5939790" cy="3902710"/>
            <wp:effectExtent l="0" t="0" r="3810" b="2540"/>
            <wp:docPr id="175244112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206889A-07B6-4BED-BF54-CA492BE2E9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FA7139" w14:textId="77777777" w:rsidR="008D2889" w:rsidRDefault="008D2889" w:rsidP="00082EED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4AD0920" w14:textId="3E95111D" w:rsidR="008D2889" w:rsidRDefault="00D74444" w:rsidP="00D74444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2C6">
        <w:rPr>
          <w:rFonts w:ascii="Times New Roman" w:hAnsi="Times New Roman" w:cs="Times New Roman"/>
          <w:sz w:val="27"/>
          <w:szCs w:val="27"/>
        </w:rPr>
        <w:t xml:space="preserve">По итогам </w:t>
      </w:r>
      <w:r w:rsidR="007F3D58">
        <w:rPr>
          <w:rFonts w:ascii="Times New Roman" w:hAnsi="Times New Roman" w:cs="Times New Roman"/>
          <w:sz w:val="27"/>
          <w:szCs w:val="27"/>
        </w:rPr>
        <w:t>февраля</w:t>
      </w:r>
      <w:r w:rsidR="007F3901"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202</w:t>
      </w:r>
      <w:r w:rsidR="007F3901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 xml:space="preserve">г. </w:t>
      </w:r>
      <w:r w:rsidR="000860E3">
        <w:rPr>
          <w:rFonts w:ascii="Times New Roman" w:hAnsi="Times New Roman" w:cs="Times New Roman"/>
          <w:sz w:val="27"/>
          <w:szCs w:val="27"/>
        </w:rPr>
        <w:t xml:space="preserve">продолжилось </w:t>
      </w:r>
      <w:r w:rsidR="007F3901">
        <w:rPr>
          <w:rFonts w:ascii="Times New Roman" w:hAnsi="Times New Roman" w:cs="Times New Roman"/>
          <w:sz w:val="27"/>
          <w:szCs w:val="27"/>
        </w:rPr>
        <w:t>уменьш</w:t>
      </w:r>
      <w:r w:rsidR="000860E3">
        <w:rPr>
          <w:rFonts w:ascii="Times New Roman" w:hAnsi="Times New Roman" w:cs="Times New Roman"/>
          <w:sz w:val="27"/>
          <w:szCs w:val="27"/>
        </w:rPr>
        <w:t>ение</w:t>
      </w:r>
      <w:r w:rsidR="00D76812" w:rsidRPr="00D76812">
        <w:rPr>
          <w:rFonts w:ascii="Times New Roman" w:hAnsi="Times New Roman" w:cs="Times New Roman"/>
          <w:sz w:val="27"/>
          <w:szCs w:val="27"/>
        </w:rPr>
        <w:t xml:space="preserve"> </w:t>
      </w:r>
      <w:r w:rsidR="00D76812">
        <w:rPr>
          <w:rFonts w:ascii="Times New Roman" w:hAnsi="Times New Roman" w:cs="Times New Roman"/>
          <w:sz w:val="27"/>
          <w:szCs w:val="27"/>
        </w:rPr>
        <w:t>совокупн</w:t>
      </w:r>
      <w:r w:rsidR="000860E3">
        <w:rPr>
          <w:rFonts w:ascii="Times New Roman" w:hAnsi="Times New Roman" w:cs="Times New Roman"/>
          <w:sz w:val="27"/>
          <w:szCs w:val="27"/>
        </w:rPr>
        <w:t>ого</w:t>
      </w:r>
      <w:r w:rsidR="007F3901">
        <w:rPr>
          <w:rFonts w:ascii="Times New Roman" w:hAnsi="Times New Roman" w:cs="Times New Roman"/>
          <w:sz w:val="27"/>
          <w:szCs w:val="27"/>
        </w:rPr>
        <w:t xml:space="preserve"> </w:t>
      </w:r>
      <w:r w:rsidRPr="007D42C6">
        <w:rPr>
          <w:rFonts w:ascii="Times New Roman" w:hAnsi="Times New Roman" w:cs="Times New Roman"/>
          <w:sz w:val="27"/>
          <w:szCs w:val="27"/>
        </w:rPr>
        <w:t>размер</w:t>
      </w:r>
      <w:r w:rsidR="000860E3">
        <w:rPr>
          <w:rFonts w:ascii="Times New Roman" w:hAnsi="Times New Roman" w:cs="Times New Roman"/>
          <w:sz w:val="27"/>
          <w:szCs w:val="27"/>
        </w:rPr>
        <w:t>а</w:t>
      </w:r>
      <w:r w:rsidRPr="007D42C6">
        <w:rPr>
          <w:rFonts w:ascii="Times New Roman" w:hAnsi="Times New Roman" w:cs="Times New Roman"/>
          <w:sz w:val="27"/>
          <w:szCs w:val="27"/>
        </w:rPr>
        <w:t xml:space="preserve"> кредитных средств, привлекаемых застройщиками на строительство МКД</w:t>
      </w:r>
      <w:r>
        <w:rPr>
          <w:rFonts w:ascii="Times New Roman" w:hAnsi="Times New Roman" w:cs="Times New Roman"/>
          <w:sz w:val="27"/>
          <w:szCs w:val="27"/>
        </w:rPr>
        <w:t>. Из 12</w:t>
      </w:r>
      <w:r w:rsidR="000860E3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МКД, строительство которых на конец </w:t>
      </w:r>
      <w:r w:rsidR="000860E3">
        <w:rPr>
          <w:rFonts w:ascii="Times New Roman" w:hAnsi="Times New Roman" w:cs="Times New Roman"/>
          <w:sz w:val="27"/>
          <w:szCs w:val="27"/>
        </w:rPr>
        <w:t>февраля</w:t>
      </w:r>
      <w:r w:rsidR="007A4D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7A4D98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г. не было завершено, застройщиками открыты кредитные линии на строительство </w:t>
      </w:r>
      <w:r w:rsidR="00F0174A">
        <w:rPr>
          <w:rFonts w:ascii="Times New Roman" w:hAnsi="Times New Roman" w:cs="Times New Roman"/>
          <w:sz w:val="27"/>
          <w:szCs w:val="27"/>
        </w:rPr>
        <w:t>90</w:t>
      </w:r>
      <w:r>
        <w:rPr>
          <w:rFonts w:ascii="Times New Roman" w:hAnsi="Times New Roman" w:cs="Times New Roman"/>
          <w:sz w:val="27"/>
          <w:szCs w:val="27"/>
        </w:rPr>
        <w:t xml:space="preserve"> МКД, без учета 9 МКД</w:t>
      </w:r>
      <w:r w:rsidRPr="002012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строительство которых осуществляется Фондом защиты прав граждан – участников долевого строительства Красноярского края (далее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Регфонд</w:t>
      </w:r>
      <w:proofErr w:type="spellEnd"/>
      <w:r>
        <w:rPr>
          <w:rFonts w:ascii="Times New Roman" w:hAnsi="Times New Roman" w:cs="Times New Roman"/>
          <w:sz w:val="27"/>
          <w:szCs w:val="27"/>
        </w:rPr>
        <w:t>) на федеральные и краевые средства</w:t>
      </w:r>
      <w:r w:rsidR="00CC13FD">
        <w:rPr>
          <w:rFonts w:ascii="Times New Roman" w:hAnsi="Times New Roman" w:cs="Times New Roman"/>
          <w:sz w:val="27"/>
          <w:szCs w:val="27"/>
        </w:rPr>
        <w:t xml:space="preserve"> ( 29.02.2024 1 МКД в установленном порядке введен в эксплуатацию).</w:t>
      </w:r>
      <w:r w:rsidR="0064222E">
        <w:rPr>
          <w:rFonts w:ascii="Times New Roman" w:hAnsi="Times New Roman" w:cs="Times New Roman"/>
          <w:sz w:val="27"/>
          <w:szCs w:val="27"/>
        </w:rPr>
        <w:t xml:space="preserve"> В отношении 2</w:t>
      </w:r>
      <w:r w:rsidR="00F0174A">
        <w:rPr>
          <w:rFonts w:ascii="Times New Roman" w:hAnsi="Times New Roman" w:cs="Times New Roman"/>
          <w:sz w:val="27"/>
          <w:szCs w:val="27"/>
        </w:rPr>
        <w:t>1</w:t>
      </w:r>
      <w:r w:rsidR="0064222E">
        <w:rPr>
          <w:rFonts w:ascii="Times New Roman" w:hAnsi="Times New Roman" w:cs="Times New Roman"/>
          <w:sz w:val="27"/>
          <w:szCs w:val="27"/>
        </w:rPr>
        <w:t xml:space="preserve"> МКД сведения о финансировании строительства за счет кредитных средств в проектных декларациях отсутствуют.</w:t>
      </w:r>
    </w:p>
    <w:p w14:paraId="502D6341" w14:textId="55B6E5D0" w:rsidR="006A1D72" w:rsidRDefault="00201258" w:rsidP="001D7C78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E9070D">
        <w:rPr>
          <w:rFonts w:ascii="Times New Roman" w:hAnsi="Times New Roman" w:cs="Times New Roman"/>
          <w:sz w:val="27"/>
          <w:szCs w:val="27"/>
        </w:rPr>
        <w:t xml:space="preserve">уммарный размер </w:t>
      </w:r>
      <w:r>
        <w:rPr>
          <w:rFonts w:ascii="Times New Roman" w:hAnsi="Times New Roman" w:cs="Times New Roman"/>
          <w:sz w:val="27"/>
          <w:szCs w:val="27"/>
        </w:rPr>
        <w:t xml:space="preserve">взятых </w:t>
      </w:r>
      <w:r w:rsidR="00E9070D">
        <w:rPr>
          <w:rFonts w:ascii="Times New Roman" w:hAnsi="Times New Roman" w:cs="Times New Roman"/>
          <w:sz w:val="27"/>
          <w:szCs w:val="27"/>
        </w:rPr>
        <w:t>кредитных обязательств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F0174A">
        <w:rPr>
          <w:rFonts w:ascii="Times New Roman" w:hAnsi="Times New Roman" w:cs="Times New Roman"/>
          <w:sz w:val="27"/>
          <w:szCs w:val="27"/>
        </w:rPr>
        <w:t xml:space="preserve">на строительство МКД </w:t>
      </w:r>
      <w:r w:rsidR="0064222E">
        <w:rPr>
          <w:rFonts w:ascii="Times New Roman" w:hAnsi="Times New Roman" w:cs="Times New Roman"/>
          <w:sz w:val="27"/>
          <w:szCs w:val="27"/>
        </w:rPr>
        <w:t xml:space="preserve">в феврале 2024г. составил </w:t>
      </w:r>
      <w:r w:rsidR="0064222E" w:rsidRPr="0064222E">
        <w:rPr>
          <w:rFonts w:ascii="Times New Roman" w:hAnsi="Times New Roman" w:cs="Times New Roman"/>
          <w:b/>
          <w:bCs/>
          <w:sz w:val="27"/>
          <w:szCs w:val="27"/>
        </w:rPr>
        <w:t>113,430</w:t>
      </w:r>
      <w:r w:rsidR="0064222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222E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64222E">
        <w:rPr>
          <w:rFonts w:ascii="Times New Roman" w:hAnsi="Times New Roman" w:cs="Times New Roman"/>
          <w:sz w:val="27"/>
          <w:szCs w:val="27"/>
        </w:rPr>
        <w:t xml:space="preserve"> что на 1,5% меньше показателей января </w:t>
      </w:r>
      <w:r w:rsidR="0064222E" w:rsidRPr="0064222E">
        <w:rPr>
          <w:rFonts w:ascii="Times New Roman" w:hAnsi="Times New Roman" w:cs="Times New Roman"/>
          <w:sz w:val="27"/>
          <w:szCs w:val="27"/>
        </w:rPr>
        <w:t>- 114,959</w:t>
      </w:r>
      <w:r w:rsidR="0064222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222E">
        <w:rPr>
          <w:rFonts w:ascii="Times New Roman" w:hAnsi="Times New Roman" w:cs="Times New Roman"/>
          <w:sz w:val="27"/>
          <w:szCs w:val="27"/>
        </w:rPr>
        <w:t>млрд.раблей</w:t>
      </w:r>
      <w:proofErr w:type="spellEnd"/>
      <w:r w:rsidR="0064222E">
        <w:rPr>
          <w:rFonts w:ascii="Times New Roman" w:hAnsi="Times New Roman" w:cs="Times New Roman"/>
          <w:sz w:val="27"/>
          <w:szCs w:val="27"/>
        </w:rPr>
        <w:t xml:space="preserve"> и на 5% меньше показателей декабря 2023г. -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3D5572" w:rsidRPr="001D7C78">
        <w:rPr>
          <w:rFonts w:ascii="Times New Roman" w:hAnsi="Times New Roman" w:cs="Times New Roman"/>
          <w:sz w:val="27"/>
          <w:szCs w:val="27"/>
        </w:rPr>
        <w:t>119, 466</w:t>
      </w:r>
      <w:r w:rsidR="00EE35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541D57">
        <w:rPr>
          <w:rFonts w:ascii="Times New Roman" w:hAnsi="Times New Roman" w:cs="Times New Roman"/>
          <w:sz w:val="27"/>
          <w:szCs w:val="27"/>
        </w:rPr>
        <w:t>мл</w:t>
      </w:r>
      <w:r w:rsidR="003D5572">
        <w:rPr>
          <w:rFonts w:ascii="Times New Roman" w:hAnsi="Times New Roman" w:cs="Times New Roman"/>
          <w:sz w:val="27"/>
          <w:szCs w:val="27"/>
        </w:rPr>
        <w:t>рд</w:t>
      </w:r>
      <w:r w:rsidR="00541D57">
        <w:rPr>
          <w:rFonts w:ascii="Times New Roman" w:hAnsi="Times New Roman" w:cs="Times New Roman"/>
          <w:sz w:val="27"/>
          <w:szCs w:val="27"/>
        </w:rPr>
        <w:t>.рублей</w:t>
      </w:r>
      <w:proofErr w:type="spellEnd"/>
      <w:r w:rsidR="00541D57">
        <w:rPr>
          <w:rFonts w:ascii="Times New Roman" w:hAnsi="Times New Roman" w:cs="Times New Roman"/>
          <w:sz w:val="27"/>
          <w:szCs w:val="27"/>
        </w:rPr>
        <w:t>,</w:t>
      </w:r>
      <w:r w:rsidR="009E132E">
        <w:rPr>
          <w:rFonts w:ascii="Times New Roman" w:hAnsi="Times New Roman" w:cs="Times New Roman"/>
          <w:sz w:val="27"/>
          <w:szCs w:val="27"/>
        </w:rPr>
        <w:t xml:space="preserve"> Кроме этого на строительство объектов нежилого назначения (офисные здания-апартаменты и автопарковки) открыты кредитные линии в размере </w:t>
      </w:r>
      <w:r w:rsidR="009E132E" w:rsidRPr="009E132E">
        <w:rPr>
          <w:rFonts w:ascii="Times New Roman" w:hAnsi="Times New Roman" w:cs="Times New Roman"/>
          <w:b/>
          <w:bCs/>
          <w:sz w:val="27"/>
          <w:szCs w:val="27"/>
        </w:rPr>
        <w:t>3,825</w:t>
      </w:r>
      <w:r w:rsidR="009E132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132E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9E132E">
        <w:rPr>
          <w:rFonts w:ascii="Times New Roman" w:hAnsi="Times New Roman" w:cs="Times New Roman"/>
          <w:sz w:val="27"/>
          <w:szCs w:val="27"/>
        </w:rPr>
        <w:t xml:space="preserve">. Таким образом суммарный размер кредитных обязательств застройщиков составил </w:t>
      </w:r>
      <w:r w:rsidR="009E132E" w:rsidRPr="009E132E">
        <w:rPr>
          <w:rFonts w:ascii="Times New Roman" w:hAnsi="Times New Roman" w:cs="Times New Roman"/>
          <w:b/>
          <w:bCs/>
          <w:sz w:val="27"/>
          <w:szCs w:val="27"/>
        </w:rPr>
        <w:t>117,255</w:t>
      </w:r>
      <w:r w:rsidR="009E132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E132E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9E132E">
        <w:rPr>
          <w:rFonts w:ascii="Times New Roman" w:hAnsi="Times New Roman" w:cs="Times New Roman"/>
          <w:sz w:val="27"/>
          <w:szCs w:val="27"/>
        </w:rPr>
        <w:t>.</w:t>
      </w:r>
      <w:r w:rsidR="001D7C78">
        <w:rPr>
          <w:rFonts w:ascii="Times New Roman" w:hAnsi="Times New Roman" w:cs="Times New Roman"/>
          <w:sz w:val="27"/>
          <w:szCs w:val="27"/>
        </w:rPr>
        <w:t xml:space="preserve"> </w:t>
      </w:r>
      <w:r w:rsidR="00C4290B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зятые кредитные обязательства на </w:t>
      </w:r>
      <w:r w:rsidR="001D7C78">
        <w:rPr>
          <w:rFonts w:ascii="Times New Roman" w:hAnsi="Times New Roman" w:cs="Times New Roman"/>
          <w:sz w:val="27"/>
          <w:szCs w:val="27"/>
        </w:rPr>
        <w:t>5</w:t>
      </w:r>
      <w:r w:rsidR="001817DC">
        <w:rPr>
          <w:rFonts w:ascii="Times New Roman" w:hAnsi="Times New Roman" w:cs="Times New Roman"/>
          <w:sz w:val="27"/>
          <w:szCs w:val="27"/>
        </w:rPr>
        <w:t>4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D24DB6" w:rsidRPr="003E4E37">
        <w:rPr>
          <w:rFonts w:ascii="Times New Roman" w:hAnsi="Times New Roman" w:cs="Times New Roman"/>
          <w:sz w:val="27"/>
          <w:szCs w:val="27"/>
        </w:rPr>
        <w:t>%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 xml:space="preserve">будут </w:t>
      </w:r>
      <w:r>
        <w:rPr>
          <w:rFonts w:ascii="Times New Roman" w:hAnsi="Times New Roman" w:cs="Times New Roman"/>
          <w:sz w:val="27"/>
          <w:szCs w:val="27"/>
        </w:rPr>
        <w:t>обеспечены денежными средствами участников долевого строительства</w:t>
      </w:r>
      <w:r w:rsidR="006D0594">
        <w:rPr>
          <w:rFonts w:ascii="Times New Roman" w:hAnsi="Times New Roman" w:cs="Times New Roman"/>
          <w:sz w:val="27"/>
          <w:szCs w:val="27"/>
        </w:rPr>
        <w:t>,</w:t>
      </w:r>
      <w:r w:rsidR="00947EBC">
        <w:rPr>
          <w:rFonts w:ascii="Times New Roman" w:hAnsi="Times New Roman" w:cs="Times New Roman"/>
          <w:sz w:val="27"/>
          <w:szCs w:val="27"/>
        </w:rPr>
        <w:t xml:space="preserve"> подлежащими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депонирован</w:t>
      </w:r>
      <w:r w:rsidR="00947EBC">
        <w:rPr>
          <w:rFonts w:ascii="Times New Roman" w:hAnsi="Times New Roman" w:cs="Times New Roman"/>
          <w:sz w:val="27"/>
          <w:szCs w:val="27"/>
        </w:rPr>
        <w:t>ию</w:t>
      </w:r>
      <w:r>
        <w:rPr>
          <w:rFonts w:ascii="Times New Roman" w:hAnsi="Times New Roman" w:cs="Times New Roman"/>
          <w:sz w:val="27"/>
          <w:szCs w:val="27"/>
        </w:rPr>
        <w:t xml:space="preserve"> на счетах эскроу</w:t>
      </w:r>
      <w:r w:rsidR="00D24DB6">
        <w:rPr>
          <w:rFonts w:ascii="Times New Roman" w:hAnsi="Times New Roman" w:cs="Times New Roman"/>
          <w:sz w:val="27"/>
          <w:szCs w:val="27"/>
        </w:rPr>
        <w:t xml:space="preserve"> (договоры участия в долевом строительстве</w:t>
      </w:r>
      <w:r w:rsidR="001817DC">
        <w:rPr>
          <w:rFonts w:ascii="Times New Roman" w:hAnsi="Times New Roman" w:cs="Times New Roman"/>
          <w:sz w:val="27"/>
          <w:szCs w:val="27"/>
        </w:rPr>
        <w:t xml:space="preserve"> на жилые и нежилые помещения</w:t>
      </w:r>
      <w:r w:rsidR="00D24DB6">
        <w:rPr>
          <w:rFonts w:ascii="Times New Roman" w:hAnsi="Times New Roman" w:cs="Times New Roman"/>
          <w:sz w:val="27"/>
          <w:szCs w:val="27"/>
        </w:rPr>
        <w:t xml:space="preserve"> заключены на общую сумму</w:t>
      </w:r>
      <w:r w:rsidR="001D7C78">
        <w:rPr>
          <w:rFonts w:ascii="Times New Roman" w:hAnsi="Times New Roman" w:cs="Times New Roman"/>
          <w:sz w:val="27"/>
          <w:szCs w:val="27"/>
        </w:rPr>
        <w:t xml:space="preserve"> </w:t>
      </w:r>
      <w:r w:rsidR="001817DC" w:rsidRPr="0064222E">
        <w:rPr>
          <w:rFonts w:ascii="Times New Roman" w:hAnsi="Times New Roman" w:cs="Times New Roman"/>
          <w:b/>
          <w:bCs/>
          <w:sz w:val="27"/>
          <w:szCs w:val="27"/>
        </w:rPr>
        <w:t>61,095</w:t>
      </w:r>
      <w:r w:rsidR="001817D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1D7C78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proofErr w:type="gramEnd"/>
      <w:r w:rsidR="00CC13FD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CC13FD" w:rsidRPr="000C7DBD">
        <w:rPr>
          <w:rFonts w:ascii="Times New Roman" w:hAnsi="Times New Roman" w:cs="Times New Roman"/>
          <w:b/>
          <w:bCs/>
          <w:sz w:val="27"/>
          <w:szCs w:val="27"/>
        </w:rPr>
        <w:t>58,235</w:t>
      </w:r>
      <w:r w:rsidR="00CC13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C13FD">
        <w:rPr>
          <w:rFonts w:ascii="Times New Roman" w:hAnsi="Times New Roman" w:cs="Times New Roman"/>
          <w:sz w:val="27"/>
          <w:szCs w:val="27"/>
        </w:rPr>
        <w:t>млрд.рублей</w:t>
      </w:r>
      <w:proofErr w:type="spellEnd"/>
      <w:r w:rsidR="00CC13FD">
        <w:rPr>
          <w:rFonts w:ascii="Times New Roman" w:hAnsi="Times New Roman" w:cs="Times New Roman"/>
          <w:sz w:val="27"/>
          <w:szCs w:val="27"/>
        </w:rPr>
        <w:t xml:space="preserve"> </w:t>
      </w:r>
      <w:r w:rsidR="000C7DBD">
        <w:rPr>
          <w:rFonts w:ascii="Times New Roman" w:hAnsi="Times New Roman" w:cs="Times New Roman"/>
          <w:sz w:val="27"/>
          <w:szCs w:val="27"/>
        </w:rPr>
        <w:t>по жилым помещениям)</w:t>
      </w:r>
      <w:r w:rsidR="00D24DB6">
        <w:rPr>
          <w:rFonts w:ascii="Times New Roman" w:hAnsi="Times New Roman" w:cs="Times New Roman"/>
          <w:sz w:val="27"/>
          <w:szCs w:val="27"/>
        </w:rPr>
        <w:t>). Учитывая</w:t>
      </w:r>
      <w:r w:rsidR="00C4290B">
        <w:rPr>
          <w:rFonts w:ascii="Times New Roman" w:hAnsi="Times New Roman" w:cs="Times New Roman"/>
          <w:sz w:val="27"/>
          <w:szCs w:val="27"/>
        </w:rPr>
        <w:t>,</w:t>
      </w:r>
      <w:r w:rsidR="00D24DB6">
        <w:rPr>
          <w:rFonts w:ascii="Times New Roman" w:hAnsi="Times New Roman" w:cs="Times New Roman"/>
          <w:sz w:val="27"/>
          <w:szCs w:val="27"/>
        </w:rPr>
        <w:t xml:space="preserve"> что процент реализованной</w:t>
      </w:r>
      <w:r w:rsidR="001817DC">
        <w:rPr>
          <w:rFonts w:ascii="Times New Roman" w:hAnsi="Times New Roman" w:cs="Times New Roman"/>
          <w:sz w:val="27"/>
          <w:szCs w:val="27"/>
        </w:rPr>
        <w:t xml:space="preserve"> </w:t>
      </w:r>
      <w:r w:rsidR="001817DC">
        <w:rPr>
          <w:rFonts w:ascii="Times New Roman" w:hAnsi="Times New Roman" w:cs="Times New Roman"/>
          <w:sz w:val="27"/>
          <w:szCs w:val="27"/>
        </w:rPr>
        <w:lastRenderedPageBreak/>
        <w:t>жилой</w:t>
      </w:r>
      <w:r w:rsidR="00D24DB6">
        <w:rPr>
          <w:rFonts w:ascii="Times New Roman" w:hAnsi="Times New Roman" w:cs="Times New Roman"/>
          <w:sz w:val="27"/>
          <w:szCs w:val="27"/>
        </w:rPr>
        <w:t xml:space="preserve"> площади</w:t>
      </w:r>
      <w:r w:rsidR="00BE52E8">
        <w:rPr>
          <w:rFonts w:ascii="Times New Roman" w:hAnsi="Times New Roman" w:cs="Times New Roman"/>
          <w:sz w:val="27"/>
          <w:szCs w:val="27"/>
        </w:rPr>
        <w:t xml:space="preserve"> по заключенным ДДУ</w:t>
      </w:r>
      <w:r w:rsidR="00D24DB6">
        <w:rPr>
          <w:rFonts w:ascii="Times New Roman" w:hAnsi="Times New Roman" w:cs="Times New Roman"/>
          <w:sz w:val="27"/>
          <w:szCs w:val="27"/>
        </w:rPr>
        <w:t xml:space="preserve"> по итогам </w:t>
      </w:r>
      <w:r w:rsidR="001817DC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="0035313E">
        <w:rPr>
          <w:rFonts w:ascii="Times New Roman" w:hAnsi="Times New Roman" w:cs="Times New Roman"/>
          <w:sz w:val="27"/>
          <w:szCs w:val="27"/>
        </w:rPr>
        <w:t>2023</w:t>
      </w:r>
      <w:r w:rsidR="009372FA">
        <w:rPr>
          <w:rFonts w:ascii="Times New Roman" w:hAnsi="Times New Roman" w:cs="Times New Roman"/>
          <w:sz w:val="27"/>
          <w:szCs w:val="27"/>
        </w:rPr>
        <w:t xml:space="preserve"> </w:t>
      </w:r>
      <w:r w:rsidR="0035313E">
        <w:rPr>
          <w:rFonts w:ascii="Times New Roman" w:hAnsi="Times New Roman" w:cs="Times New Roman"/>
          <w:sz w:val="27"/>
          <w:szCs w:val="27"/>
        </w:rPr>
        <w:t xml:space="preserve">г. </w:t>
      </w:r>
      <w:r w:rsidR="00D24DB6">
        <w:rPr>
          <w:rFonts w:ascii="Times New Roman" w:hAnsi="Times New Roman" w:cs="Times New Roman"/>
          <w:sz w:val="27"/>
          <w:szCs w:val="27"/>
        </w:rPr>
        <w:t>составил</w:t>
      </w:r>
      <w:r w:rsidR="00EE35AE">
        <w:rPr>
          <w:rFonts w:ascii="Times New Roman" w:hAnsi="Times New Roman" w:cs="Times New Roman"/>
          <w:sz w:val="27"/>
          <w:szCs w:val="27"/>
        </w:rPr>
        <w:t xml:space="preserve"> </w:t>
      </w:r>
      <w:r w:rsidR="003106B7">
        <w:rPr>
          <w:rFonts w:ascii="Times New Roman" w:hAnsi="Times New Roman" w:cs="Times New Roman"/>
          <w:sz w:val="27"/>
          <w:szCs w:val="27"/>
        </w:rPr>
        <w:t>3</w:t>
      </w:r>
      <w:r w:rsidR="001817DC">
        <w:rPr>
          <w:rFonts w:ascii="Times New Roman" w:hAnsi="Times New Roman" w:cs="Times New Roman"/>
          <w:sz w:val="27"/>
          <w:szCs w:val="27"/>
        </w:rPr>
        <w:t>3,3</w:t>
      </w:r>
      <w:r w:rsidR="003D5572">
        <w:rPr>
          <w:rFonts w:ascii="Times New Roman" w:hAnsi="Times New Roman" w:cs="Times New Roman"/>
          <w:sz w:val="27"/>
          <w:szCs w:val="27"/>
        </w:rPr>
        <w:t xml:space="preserve"> </w:t>
      </w:r>
      <w:r w:rsidR="00D24DB6">
        <w:rPr>
          <w:rFonts w:ascii="Times New Roman" w:hAnsi="Times New Roman" w:cs="Times New Roman"/>
          <w:sz w:val="27"/>
          <w:szCs w:val="27"/>
        </w:rPr>
        <w:t xml:space="preserve">%, </w:t>
      </w:r>
      <w:r w:rsidR="00CD4243">
        <w:rPr>
          <w:rFonts w:ascii="Times New Roman" w:hAnsi="Times New Roman" w:cs="Times New Roman"/>
          <w:sz w:val="27"/>
          <w:szCs w:val="27"/>
        </w:rPr>
        <w:t xml:space="preserve">а нежилых помещений – 24%, </w:t>
      </w:r>
      <w:r w:rsidR="00D24DB6">
        <w:rPr>
          <w:rFonts w:ascii="Times New Roman" w:hAnsi="Times New Roman" w:cs="Times New Roman"/>
          <w:sz w:val="27"/>
          <w:szCs w:val="27"/>
        </w:rPr>
        <w:t>оставшуюся часть размера кредитных обязательств возможно погасить за счет реализации свободной площади.</w:t>
      </w:r>
    </w:p>
    <w:p w14:paraId="53CCB596" w14:textId="77777777" w:rsidR="000C7DBD" w:rsidRDefault="000C7DBD" w:rsidP="001D7C78">
      <w:pPr>
        <w:pStyle w:val="af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28B6A3A" w14:textId="0CC89A21" w:rsidR="002C7674" w:rsidRDefault="00476517" w:rsidP="00EA52B1">
      <w:pPr>
        <w:pStyle w:val="af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06CDAA33" wp14:editId="50EA7F7A">
            <wp:extent cx="5939790" cy="4372824"/>
            <wp:effectExtent l="0" t="0" r="3810" b="8890"/>
            <wp:docPr id="128030027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680ACDF-AD88-48C3-8C17-5EA91C678F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A0D64" w14:textId="77777777" w:rsidR="000246B4" w:rsidRDefault="000246B4" w:rsidP="00260B4A">
      <w:pPr>
        <w:shd w:val="clear" w:color="auto" w:fill="FFFFFF"/>
        <w:spacing w:line="224" w:lineRule="atLeast"/>
        <w:ind w:firstLine="708"/>
        <w:jc w:val="both"/>
        <w:rPr>
          <w:sz w:val="27"/>
          <w:szCs w:val="27"/>
        </w:rPr>
      </w:pPr>
    </w:p>
    <w:sectPr w:rsidR="000246B4" w:rsidSect="003671A1">
      <w:headerReference w:type="default" r:id="rId13"/>
      <w:footerReference w:type="even" r:id="rId14"/>
      <w:footerReference w:type="default" r:id="rId15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D711" w14:textId="77777777" w:rsidR="003671A1" w:rsidRDefault="003671A1">
      <w:r>
        <w:separator/>
      </w:r>
    </w:p>
  </w:endnote>
  <w:endnote w:type="continuationSeparator" w:id="0">
    <w:p w14:paraId="239F6324" w14:textId="77777777" w:rsidR="003671A1" w:rsidRDefault="003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66DE" w14:textId="77777777" w:rsidR="000530B0" w:rsidRDefault="000530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3EB2047" w14:textId="77777777" w:rsidR="000530B0" w:rsidRDefault="000530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57D6" w14:textId="77777777" w:rsidR="000530B0" w:rsidRDefault="000530B0" w:rsidP="00296C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F296" w14:textId="77777777" w:rsidR="003671A1" w:rsidRDefault="003671A1">
      <w:r>
        <w:separator/>
      </w:r>
    </w:p>
  </w:footnote>
  <w:footnote w:type="continuationSeparator" w:id="0">
    <w:p w14:paraId="04E56062" w14:textId="77777777" w:rsidR="003671A1" w:rsidRDefault="0036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EB90" w14:textId="77777777" w:rsidR="00D818F9" w:rsidRDefault="00D818F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C69">
      <w:rPr>
        <w:noProof/>
      </w:rPr>
      <w:t>2</w:t>
    </w:r>
    <w:r>
      <w:fldChar w:fldCharType="end"/>
    </w:r>
  </w:p>
  <w:p w14:paraId="2043C55C" w14:textId="77777777" w:rsidR="00D818F9" w:rsidRDefault="00D818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3A2310"/>
    <w:multiLevelType w:val="hybridMultilevel"/>
    <w:tmpl w:val="77B2788C"/>
    <w:lvl w:ilvl="0" w:tplc="0B82BC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04E54"/>
    <w:multiLevelType w:val="hybridMultilevel"/>
    <w:tmpl w:val="44C2413E"/>
    <w:lvl w:ilvl="0" w:tplc="24C6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E32122"/>
    <w:multiLevelType w:val="hybridMultilevel"/>
    <w:tmpl w:val="5EE04C10"/>
    <w:lvl w:ilvl="0" w:tplc="DF8E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46E1A"/>
    <w:multiLevelType w:val="hybridMultilevel"/>
    <w:tmpl w:val="C294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000D2"/>
    <w:multiLevelType w:val="hybridMultilevel"/>
    <w:tmpl w:val="34AACAA6"/>
    <w:lvl w:ilvl="0" w:tplc="21A2C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24339793">
    <w:abstractNumId w:val="4"/>
  </w:num>
  <w:num w:numId="2" w16cid:durableId="1584604979">
    <w:abstractNumId w:val="0"/>
  </w:num>
  <w:num w:numId="3" w16cid:durableId="564026164">
    <w:abstractNumId w:val="3"/>
  </w:num>
  <w:num w:numId="4" w16cid:durableId="46730210">
    <w:abstractNumId w:val="5"/>
  </w:num>
  <w:num w:numId="5" w16cid:durableId="332339976">
    <w:abstractNumId w:val="2"/>
  </w:num>
  <w:num w:numId="6" w16cid:durableId="169661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55"/>
    <w:rsid w:val="00003014"/>
    <w:rsid w:val="00003760"/>
    <w:rsid w:val="00005510"/>
    <w:rsid w:val="00005DA1"/>
    <w:rsid w:val="00005E89"/>
    <w:rsid w:val="000108AB"/>
    <w:rsid w:val="0001162F"/>
    <w:rsid w:val="00011ED2"/>
    <w:rsid w:val="00012A4D"/>
    <w:rsid w:val="00014C1A"/>
    <w:rsid w:val="00015D99"/>
    <w:rsid w:val="00016510"/>
    <w:rsid w:val="00017A74"/>
    <w:rsid w:val="00022049"/>
    <w:rsid w:val="000226FB"/>
    <w:rsid w:val="000246B4"/>
    <w:rsid w:val="00024704"/>
    <w:rsid w:val="000250C2"/>
    <w:rsid w:val="00027335"/>
    <w:rsid w:val="0002734C"/>
    <w:rsid w:val="00030908"/>
    <w:rsid w:val="00030FDB"/>
    <w:rsid w:val="00031788"/>
    <w:rsid w:val="00031A7C"/>
    <w:rsid w:val="00031DFD"/>
    <w:rsid w:val="00031F4C"/>
    <w:rsid w:val="000325EA"/>
    <w:rsid w:val="00033330"/>
    <w:rsid w:val="00033B83"/>
    <w:rsid w:val="00033D32"/>
    <w:rsid w:val="000341A6"/>
    <w:rsid w:val="000341D4"/>
    <w:rsid w:val="00035B46"/>
    <w:rsid w:val="00037C22"/>
    <w:rsid w:val="00040E15"/>
    <w:rsid w:val="00040F66"/>
    <w:rsid w:val="000425DC"/>
    <w:rsid w:val="00042648"/>
    <w:rsid w:val="000438E1"/>
    <w:rsid w:val="0004394F"/>
    <w:rsid w:val="00045428"/>
    <w:rsid w:val="00045657"/>
    <w:rsid w:val="000459F6"/>
    <w:rsid w:val="000465F3"/>
    <w:rsid w:val="00046625"/>
    <w:rsid w:val="00046772"/>
    <w:rsid w:val="00046945"/>
    <w:rsid w:val="00046ABF"/>
    <w:rsid w:val="00047418"/>
    <w:rsid w:val="000513C0"/>
    <w:rsid w:val="000519B9"/>
    <w:rsid w:val="00052C63"/>
    <w:rsid w:val="00052D07"/>
    <w:rsid w:val="000530B0"/>
    <w:rsid w:val="00053940"/>
    <w:rsid w:val="00056F09"/>
    <w:rsid w:val="00057DF9"/>
    <w:rsid w:val="00061B80"/>
    <w:rsid w:val="00061BB3"/>
    <w:rsid w:val="00063DF6"/>
    <w:rsid w:val="00064AD1"/>
    <w:rsid w:val="000654E5"/>
    <w:rsid w:val="00066533"/>
    <w:rsid w:val="00070AE6"/>
    <w:rsid w:val="0007287D"/>
    <w:rsid w:val="00073D9C"/>
    <w:rsid w:val="000744BD"/>
    <w:rsid w:val="0008027E"/>
    <w:rsid w:val="000822AB"/>
    <w:rsid w:val="00082C68"/>
    <w:rsid w:val="00082EED"/>
    <w:rsid w:val="0008348F"/>
    <w:rsid w:val="00085379"/>
    <w:rsid w:val="000860E3"/>
    <w:rsid w:val="00090023"/>
    <w:rsid w:val="000917C0"/>
    <w:rsid w:val="00094BDC"/>
    <w:rsid w:val="00094C6B"/>
    <w:rsid w:val="00095A7F"/>
    <w:rsid w:val="00095D38"/>
    <w:rsid w:val="000972F8"/>
    <w:rsid w:val="00097CE5"/>
    <w:rsid w:val="000A13C9"/>
    <w:rsid w:val="000A3155"/>
    <w:rsid w:val="000A386B"/>
    <w:rsid w:val="000A4AB1"/>
    <w:rsid w:val="000A4C2F"/>
    <w:rsid w:val="000B06A2"/>
    <w:rsid w:val="000B0B80"/>
    <w:rsid w:val="000B1ED3"/>
    <w:rsid w:val="000B5936"/>
    <w:rsid w:val="000B7581"/>
    <w:rsid w:val="000C0DA1"/>
    <w:rsid w:val="000C230F"/>
    <w:rsid w:val="000C24DD"/>
    <w:rsid w:val="000C4FDA"/>
    <w:rsid w:val="000C5348"/>
    <w:rsid w:val="000C56AE"/>
    <w:rsid w:val="000C5E5C"/>
    <w:rsid w:val="000C6332"/>
    <w:rsid w:val="000C687C"/>
    <w:rsid w:val="000C7DBD"/>
    <w:rsid w:val="000C7E9D"/>
    <w:rsid w:val="000D0070"/>
    <w:rsid w:val="000D1367"/>
    <w:rsid w:val="000D3167"/>
    <w:rsid w:val="000D4A49"/>
    <w:rsid w:val="000D679B"/>
    <w:rsid w:val="000D6ED0"/>
    <w:rsid w:val="000E0CE8"/>
    <w:rsid w:val="000E2FFF"/>
    <w:rsid w:val="000E3130"/>
    <w:rsid w:val="000E3811"/>
    <w:rsid w:val="000E56F6"/>
    <w:rsid w:val="000E6CDF"/>
    <w:rsid w:val="000E7711"/>
    <w:rsid w:val="000F0212"/>
    <w:rsid w:val="000F0FE5"/>
    <w:rsid w:val="000F1619"/>
    <w:rsid w:val="000F2299"/>
    <w:rsid w:val="000F30B4"/>
    <w:rsid w:val="000F413F"/>
    <w:rsid w:val="000F6333"/>
    <w:rsid w:val="00101E3D"/>
    <w:rsid w:val="00103F5F"/>
    <w:rsid w:val="00104B3A"/>
    <w:rsid w:val="00104F90"/>
    <w:rsid w:val="001054CB"/>
    <w:rsid w:val="00105520"/>
    <w:rsid w:val="00106C91"/>
    <w:rsid w:val="00106F32"/>
    <w:rsid w:val="001075AF"/>
    <w:rsid w:val="001077DB"/>
    <w:rsid w:val="0011004C"/>
    <w:rsid w:val="00110680"/>
    <w:rsid w:val="00111BDA"/>
    <w:rsid w:val="00113162"/>
    <w:rsid w:val="0011746A"/>
    <w:rsid w:val="00120670"/>
    <w:rsid w:val="0012130E"/>
    <w:rsid w:val="00121E66"/>
    <w:rsid w:val="0012311A"/>
    <w:rsid w:val="00124808"/>
    <w:rsid w:val="0012501B"/>
    <w:rsid w:val="00126910"/>
    <w:rsid w:val="0012735B"/>
    <w:rsid w:val="0012756E"/>
    <w:rsid w:val="001336A4"/>
    <w:rsid w:val="001422F6"/>
    <w:rsid w:val="001444A8"/>
    <w:rsid w:val="00145264"/>
    <w:rsid w:val="00147F91"/>
    <w:rsid w:val="001506CE"/>
    <w:rsid w:val="0015079E"/>
    <w:rsid w:val="001522AE"/>
    <w:rsid w:val="00154A15"/>
    <w:rsid w:val="0015712D"/>
    <w:rsid w:val="0016088B"/>
    <w:rsid w:val="00161A92"/>
    <w:rsid w:val="00161C4D"/>
    <w:rsid w:val="0016480F"/>
    <w:rsid w:val="00170571"/>
    <w:rsid w:val="001719AB"/>
    <w:rsid w:val="00171A5F"/>
    <w:rsid w:val="00171B08"/>
    <w:rsid w:val="00172631"/>
    <w:rsid w:val="00173222"/>
    <w:rsid w:val="00174C65"/>
    <w:rsid w:val="001759C5"/>
    <w:rsid w:val="00176BDD"/>
    <w:rsid w:val="001817DC"/>
    <w:rsid w:val="00181E69"/>
    <w:rsid w:val="0018339E"/>
    <w:rsid w:val="00185BF7"/>
    <w:rsid w:val="00186649"/>
    <w:rsid w:val="00186FD0"/>
    <w:rsid w:val="001916FA"/>
    <w:rsid w:val="00192701"/>
    <w:rsid w:val="001942FF"/>
    <w:rsid w:val="0019447B"/>
    <w:rsid w:val="001954CE"/>
    <w:rsid w:val="001958E6"/>
    <w:rsid w:val="00195E10"/>
    <w:rsid w:val="00196F99"/>
    <w:rsid w:val="001A024C"/>
    <w:rsid w:val="001A074E"/>
    <w:rsid w:val="001A2408"/>
    <w:rsid w:val="001A242B"/>
    <w:rsid w:val="001A36B8"/>
    <w:rsid w:val="001A3839"/>
    <w:rsid w:val="001A6543"/>
    <w:rsid w:val="001A691B"/>
    <w:rsid w:val="001A73EA"/>
    <w:rsid w:val="001A76FE"/>
    <w:rsid w:val="001A7B1C"/>
    <w:rsid w:val="001A7EC2"/>
    <w:rsid w:val="001B02AA"/>
    <w:rsid w:val="001B048F"/>
    <w:rsid w:val="001B0C70"/>
    <w:rsid w:val="001B0D7D"/>
    <w:rsid w:val="001B144D"/>
    <w:rsid w:val="001B36C0"/>
    <w:rsid w:val="001B5019"/>
    <w:rsid w:val="001B668E"/>
    <w:rsid w:val="001B6705"/>
    <w:rsid w:val="001B6850"/>
    <w:rsid w:val="001C0F72"/>
    <w:rsid w:val="001C14B8"/>
    <w:rsid w:val="001C33A7"/>
    <w:rsid w:val="001C41D8"/>
    <w:rsid w:val="001C4335"/>
    <w:rsid w:val="001C540D"/>
    <w:rsid w:val="001C604F"/>
    <w:rsid w:val="001C6C8F"/>
    <w:rsid w:val="001C7FC2"/>
    <w:rsid w:val="001D12BB"/>
    <w:rsid w:val="001D21B2"/>
    <w:rsid w:val="001D3C2E"/>
    <w:rsid w:val="001D6705"/>
    <w:rsid w:val="001D6EF9"/>
    <w:rsid w:val="001D7C78"/>
    <w:rsid w:val="001E49F7"/>
    <w:rsid w:val="001E6CF0"/>
    <w:rsid w:val="001F038B"/>
    <w:rsid w:val="001F1353"/>
    <w:rsid w:val="001F206C"/>
    <w:rsid w:val="001F333E"/>
    <w:rsid w:val="001F34C6"/>
    <w:rsid w:val="001F598E"/>
    <w:rsid w:val="001F5B6E"/>
    <w:rsid w:val="001F66CC"/>
    <w:rsid w:val="001F7123"/>
    <w:rsid w:val="00201258"/>
    <w:rsid w:val="00201789"/>
    <w:rsid w:val="002030C2"/>
    <w:rsid w:val="002030F0"/>
    <w:rsid w:val="002033C4"/>
    <w:rsid w:val="00203880"/>
    <w:rsid w:val="0020566A"/>
    <w:rsid w:val="00206096"/>
    <w:rsid w:val="00210B41"/>
    <w:rsid w:val="00210FBB"/>
    <w:rsid w:val="00213420"/>
    <w:rsid w:val="0021589C"/>
    <w:rsid w:val="002160BA"/>
    <w:rsid w:val="002169D4"/>
    <w:rsid w:val="0021704E"/>
    <w:rsid w:val="002200F1"/>
    <w:rsid w:val="00223D66"/>
    <w:rsid w:val="00223F41"/>
    <w:rsid w:val="002243C0"/>
    <w:rsid w:val="0022506B"/>
    <w:rsid w:val="002252CF"/>
    <w:rsid w:val="00230A1B"/>
    <w:rsid w:val="002350BD"/>
    <w:rsid w:val="00235D29"/>
    <w:rsid w:val="0024169C"/>
    <w:rsid w:val="00244254"/>
    <w:rsid w:val="002454B8"/>
    <w:rsid w:val="0024574D"/>
    <w:rsid w:val="00246724"/>
    <w:rsid w:val="00246CDE"/>
    <w:rsid w:val="00251AE4"/>
    <w:rsid w:val="00251D03"/>
    <w:rsid w:val="00252C2E"/>
    <w:rsid w:val="00253325"/>
    <w:rsid w:val="00256E41"/>
    <w:rsid w:val="0025730F"/>
    <w:rsid w:val="00257673"/>
    <w:rsid w:val="002578A3"/>
    <w:rsid w:val="002578BE"/>
    <w:rsid w:val="0026065A"/>
    <w:rsid w:val="002606C3"/>
    <w:rsid w:val="00260B4A"/>
    <w:rsid w:val="0026137F"/>
    <w:rsid w:val="002629E7"/>
    <w:rsid w:val="00262D46"/>
    <w:rsid w:val="002636BC"/>
    <w:rsid w:val="00263C4B"/>
    <w:rsid w:val="002649D2"/>
    <w:rsid w:val="00265EAB"/>
    <w:rsid w:val="0026617D"/>
    <w:rsid w:val="0026647C"/>
    <w:rsid w:val="00266858"/>
    <w:rsid w:val="0027016F"/>
    <w:rsid w:val="00270EB6"/>
    <w:rsid w:val="00271151"/>
    <w:rsid w:val="00271B66"/>
    <w:rsid w:val="00273A55"/>
    <w:rsid w:val="00275D12"/>
    <w:rsid w:val="0027780C"/>
    <w:rsid w:val="00277FFC"/>
    <w:rsid w:val="00282D32"/>
    <w:rsid w:val="0028479E"/>
    <w:rsid w:val="00284C90"/>
    <w:rsid w:val="002857FD"/>
    <w:rsid w:val="00285DE3"/>
    <w:rsid w:val="00286CD0"/>
    <w:rsid w:val="002907BD"/>
    <w:rsid w:val="00290816"/>
    <w:rsid w:val="0029230B"/>
    <w:rsid w:val="002934E6"/>
    <w:rsid w:val="0029620D"/>
    <w:rsid w:val="00296C46"/>
    <w:rsid w:val="00296F84"/>
    <w:rsid w:val="0029728B"/>
    <w:rsid w:val="00297418"/>
    <w:rsid w:val="0029779D"/>
    <w:rsid w:val="002A0891"/>
    <w:rsid w:val="002A1754"/>
    <w:rsid w:val="002A3764"/>
    <w:rsid w:val="002A3801"/>
    <w:rsid w:val="002A719B"/>
    <w:rsid w:val="002B123B"/>
    <w:rsid w:val="002B153A"/>
    <w:rsid w:val="002B3860"/>
    <w:rsid w:val="002B3B3C"/>
    <w:rsid w:val="002C345F"/>
    <w:rsid w:val="002C46CA"/>
    <w:rsid w:val="002C75BC"/>
    <w:rsid w:val="002C7674"/>
    <w:rsid w:val="002C7718"/>
    <w:rsid w:val="002C7F65"/>
    <w:rsid w:val="002D06F6"/>
    <w:rsid w:val="002D07BB"/>
    <w:rsid w:val="002D3389"/>
    <w:rsid w:val="002D3903"/>
    <w:rsid w:val="002D57B9"/>
    <w:rsid w:val="002D7A2B"/>
    <w:rsid w:val="002D7B84"/>
    <w:rsid w:val="002E05AF"/>
    <w:rsid w:val="002E0C04"/>
    <w:rsid w:val="002E1238"/>
    <w:rsid w:val="002E19A4"/>
    <w:rsid w:val="002E3480"/>
    <w:rsid w:val="002E3C36"/>
    <w:rsid w:val="002E6E8B"/>
    <w:rsid w:val="002F1787"/>
    <w:rsid w:val="002F1F86"/>
    <w:rsid w:val="002F20DC"/>
    <w:rsid w:val="002F29A6"/>
    <w:rsid w:val="002F32E6"/>
    <w:rsid w:val="002F3B9C"/>
    <w:rsid w:val="002F646B"/>
    <w:rsid w:val="002F7419"/>
    <w:rsid w:val="0030088B"/>
    <w:rsid w:val="00301AB6"/>
    <w:rsid w:val="003033C0"/>
    <w:rsid w:val="00303927"/>
    <w:rsid w:val="0030527A"/>
    <w:rsid w:val="00305AFB"/>
    <w:rsid w:val="0030643C"/>
    <w:rsid w:val="00306458"/>
    <w:rsid w:val="0030657B"/>
    <w:rsid w:val="00306B90"/>
    <w:rsid w:val="00307B7E"/>
    <w:rsid w:val="003101A7"/>
    <w:rsid w:val="003106B7"/>
    <w:rsid w:val="003110F3"/>
    <w:rsid w:val="0031257A"/>
    <w:rsid w:val="003129FA"/>
    <w:rsid w:val="00312CF7"/>
    <w:rsid w:val="003157C1"/>
    <w:rsid w:val="00315938"/>
    <w:rsid w:val="00316E85"/>
    <w:rsid w:val="00321CFA"/>
    <w:rsid w:val="00321DEA"/>
    <w:rsid w:val="00322A18"/>
    <w:rsid w:val="00324854"/>
    <w:rsid w:val="00326070"/>
    <w:rsid w:val="003264AF"/>
    <w:rsid w:val="00326AE2"/>
    <w:rsid w:val="00326EC2"/>
    <w:rsid w:val="003308B1"/>
    <w:rsid w:val="00331652"/>
    <w:rsid w:val="0033329D"/>
    <w:rsid w:val="003340D4"/>
    <w:rsid w:val="003405A8"/>
    <w:rsid w:val="0034238E"/>
    <w:rsid w:val="00343BE4"/>
    <w:rsid w:val="00343F25"/>
    <w:rsid w:val="0034591E"/>
    <w:rsid w:val="00347833"/>
    <w:rsid w:val="00347FCC"/>
    <w:rsid w:val="00350230"/>
    <w:rsid w:val="003506E3"/>
    <w:rsid w:val="00350C26"/>
    <w:rsid w:val="00351DBA"/>
    <w:rsid w:val="0035313E"/>
    <w:rsid w:val="003542F7"/>
    <w:rsid w:val="003549EE"/>
    <w:rsid w:val="003561C0"/>
    <w:rsid w:val="00356494"/>
    <w:rsid w:val="00357E56"/>
    <w:rsid w:val="003601B3"/>
    <w:rsid w:val="00360BFD"/>
    <w:rsid w:val="00361ACB"/>
    <w:rsid w:val="003637F1"/>
    <w:rsid w:val="003638DC"/>
    <w:rsid w:val="00364148"/>
    <w:rsid w:val="003653BD"/>
    <w:rsid w:val="00366C5E"/>
    <w:rsid w:val="003671A1"/>
    <w:rsid w:val="00367590"/>
    <w:rsid w:val="0037144D"/>
    <w:rsid w:val="00371A70"/>
    <w:rsid w:val="0037282C"/>
    <w:rsid w:val="00373D18"/>
    <w:rsid w:val="00374487"/>
    <w:rsid w:val="00377901"/>
    <w:rsid w:val="003808E6"/>
    <w:rsid w:val="00380D4C"/>
    <w:rsid w:val="00380F4C"/>
    <w:rsid w:val="00383C9A"/>
    <w:rsid w:val="00384D3C"/>
    <w:rsid w:val="00384D8B"/>
    <w:rsid w:val="00385942"/>
    <w:rsid w:val="00385D5C"/>
    <w:rsid w:val="0038631D"/>
    <w:rsid w:val="003869DC"/>
    <w:rsid w:val="00387187"/>
    <w:rsid w:val="003876D5"/>
    <w:rsid w:val="003905C8"/>
    <w:rsid w:val="00391BB8"/>
    <w:rsid w:val="003950D2"/>
    <w:rsid w:val="003954DE"/>
    <w:rsid w:val="00396F52"/>
    <w:rsid w:val="00397661"/>
    <w:rsid w:val="003A0D98"/>
    <w:rsid w:val="003A16DC"/>
    <w:rsid w:val="003A201A"/>
    <w:rsid w:val="003A24BD"/>
    <w:rsid w:val="003A2E95"/>
    <w:rsid w:val="003A55CB"/>
    <w:rsid w:val="003A5B30"/>
    <w:rsid w:val="003A7C33"/>
    <w:rsid w:val="003B04F9"/>
    <w:rsid w:val="003B088E"/>
    <w:rsid w:val="003B0D7A"/>
    <w:rsid w:val="003B134B"/>
    <w:rsid w:val="003B2AE1"/>
    <w:rsid w:val="003B3747"/>
    <w:rsid w:val="003B3837"/>
    <w:rsid w:val="003B75B7"/>
    <w:rsid w:val="003B7F4C"/>
    <w:rsid w:val="003C09D7"/>
    <w:rsid w:val="003C172F"/>
    <w:rsid w:val="003C2E8C"/>
    <w:rsid w:val="003C37BA"/>
    <w:rsid w:val="003C41D7"/>
    <w:rsid w:val="003C4C36"/>
    <w:rsid w:val="003C539E"/>
    <w:rsid w:val="003C7455"/>
    <w:rsid w:val="003C74EE"/>
    <w:rsid w:val="003D5572"/>
    <w:rsid w:val="003E0488"/>
    <w:rsid w:val="003E0E12"/>
    <w:rsid w:val="003E102D"/>
    <w:rsid w:val="003E3FCB"/>
    <w:rsid w:val="003E4E37"/>
    <w:rsid w:val="003E5E14"/>
    <w:rsid w:val="003E5FC2"/>
    <w:rsid w:val="003E6DA4"/>
    <w:rsid w:val="003F1A5F"/>
    <w:rsid w:val="003F1EDC"/>
    <w:rsid w:val="003F2358"/>
    <w:rsid w:val="003F330A"/>
    <w:rsid w:val="003F387B"/>
    <w:rsid w:val="003F3B00"/>
    <w:rsid w:val="003F3C09"/>
    <w:rsid w:val="003F3D76"/>
    <w:rsid w:val="003F72FF"/>
    <w:rsid w:val="00402A9A"/>
    <w:rsid w:val="00402F94"/>
    <w:rsid w:val="004037F6"/>
    <w:rsid w:val="004038C4"/>
    <w:rsid w:val="0040530F"/>
    <w:rsid w:val="004059E1"/>
    <w:rsid w:val="00410EDA"/>
    <w:rsid w:val="00411EFC"/>
    <w:rsid w:val="00412088"/>
    <w:rsid w:val="00413E12"/>
    <w:rsid w:val="004170D7"/>
    <w:rsid w:val="0042133D"/>
    <w:rsid w:val="0042170E"/>
    <w:rsid w:val="004218CE"/>
    <w:rsid w:val="004219B5"/>
    <w:rsid w:val="00422BE7"/>
    <w:rsid w:val="00422C6E"/>
    <w:rsid w:val="00423032"/>
    <w:rsid w:val="00423342"/>
    <w:rsid w:val="00424804"/>
    <w:rsid w:val="00425777"/>
    <w:rsid w:val="00426953"/>
    <w:rsid w:val="0042698A"/>
    <w:rsid w:val="00426A28"/>
    <w:rsid w:val="00430746"/>
    <w:rsid w:val="00432D80"/>
    <w:rsid w:val="00432FBD"/>
    <w:rsid w:val="00434C6A"/>
    <w:rsid w:val="00436129"/>
    <w:rsid w:val="004366B3"/>
    <w:rsid w:val="00437EA0"/>
    <w:rsid w:val="00440E2C"/>
    <w:rsid w:val="0044115C"/>
    <w:rsid w:val="00441C3D"/>
    <w:rsid w:val="00442340"/>
    <w:rsid w:val="004439F4"/>
    <w:rsid w:val="00444C79"/>
    <w:rsid w:val="00445709"/>
    <w:rsid w:val="00445996"/>
    <w:rsid w:val="00445AEA"/>
    <w:rsid w:val="00447684"/>
    <w:rsid w:val="0044783E"/>
    <w:rsid w:val="004512DE"/>
    <w:rsid w:val="004517E4"/>
    <w:rsid w:val="00451D00"/>
    <w:rsid w:val="0045213F"/>
    <w:rsid w:val="0045227A"/>
    <w:rsid w:val="00452CA8"/>
    <w:rsid w:val="00453ACD"/>
    <w:rsid w:val="00453EA9"/>
    <w:rsid w:val="004559A9"/>
    <w:rsid w:val="00455F5D"/>
    <w:rsid w:val="004565C4"/>
    <w:rsid w:val="004601AE"/>
    <w:rsid w:val="00460A33"/>
    <w:rsid w:val="004611D1"/>
    <w:rsid w:val="00461F62"/>
    <w:rsid w:val="00462552"/>
    <w:rsid w:val="0046390C"/>
    <w:rsid w:val="00463C37"/>
    <w:rsid w:val="00464483"/>
    <w:rsid w:val="00465C09"/>
    <w:rsid w:val="00466CF8"/>
    <w:rsid w:val="00467511"/>
    <w:rsid w:val="00470F0F"/>
    <w:rsid w:val="0047111A"/>
    <w:rsid w:val="00471677"/>
    <w:rsid w:val="00473FDB"/>
    <w:rsid w:val="00474DE9"/>
    <w:rsid w:val="00474EE1"/>
    <w:rsid w:val="00476110"/>
    <w:rsid w:val="00476517"/>
    <w:rsid w:val="00477268"/>
    <w:rsid w:val="00480DB4"/>
    <w:rsid w:val="004818C1"/>
    <w:rsid w:val="00482B13"/>
    <w:rsid w:val="00483FBE"/>
    <w:rsid w:val="004840D8"/>
    <w:rsid w:val="004863F8"/>
    <w:rsid w:val="004873FF"/>
    <w:rsid w:val="004877D3"/>
    <w:rsid w:val="00487B46"/>
    <w:rsid w:val="00490DC7"/>
    <w:rsid w:val="00492D98"/>
    <w:rsid w:val="00494FAE"/>
    <w:rsid w:val="00495BC1"/>
    <w:rsid w:val="004961BD"/>
    <w:rsid w:val="0049788D"/>
    <w:rsid w:val="004A1EB4"/>
    <w:rsid w:val="004A2165"/>
    <w:rsid w:val="004A23F7"/>
    <w:rsid w:val="004A2AD6"/>
    <w:rsid w:val="004A644F"/>
    <w:rsid w:val="004A692D"/>
    <w:rsid w:val="004A7EE9"/>
    <w:rsid w:val="004A7FD8"/>
    <w:rsid w:val="004B03C6"/>
    <w:rsid w:val="004B070A"/>
    <w:rsid w:val="004B0DF0"/>
    <w:rsid w:val="004B137B"/>
    <w:rsid w:val="004B1F68"/>
    <w:rsid w:val="004B26FD"/>
    <w:rsid w:val="004B2F05"/>
    <w:rsid w:val="004B4A21"/>
    <w:rsid w:val="004B67D5"/>
    <w:rsid w:val="004B7CB8"/>
    <w:rsid w:val="004C12C1"/>
    <w:rsid w:val="004C4283"/>
    <w:rsid w:val="004D14D7"/>
    <w:rsid w:val="004D2067"/>
    <w:rsid w:val="004D58B4"/>
    <w:rsid w:val="004D5DCD"/>
    <w:rsid w:val="004D695A"/>
    <w:rsid w:val="004D718E"/>
    <w:rsid w:val="004D764F"/>
    <w:rsid w:val="004E3179"/>
    <w:rsid w:val="004E3AD9"/>
    <w:rsid w:val="004F001B"/>
    <w:rsid w:val="004F0C26"/>
    <w:rsid w:val="004F11F3"/>
    <w:rsid w:val="004F1369"/>
    <w:rsid w:val="004F471B"/>
    <w:rsid w:val="004F6B68"/>
    <w:rsid w:val="004F6C2A"/>
    <w:rsid w:val="004F6E27"/>
    <w:rsid w:val="004F743D"/>
    <w:rsid w:val="005008C2"/>
    <w:rsid w:val="00502FB5"/>
    <w:rsid w:val="005045D5"/>
    <w:rsid w:val="00511E03"/>
    <w:rsid w:val="005171C1"/>
    <w:rsid w:val="0051743D"/>
    <w:rsid w:val="00517935"/>
    <w:rsid w:val="00517DC6"/>
    <w:rsid w:val="00520274"/>
    <w:rsid w:val="005217FF"/>
    <w:rsid w:val="0052217A"/>
    <w:rsid w:val="005228D6"/>
    <w:rsid w:val="00522DE7"/>
    <w:rsid w:val="0052483E"/>
    <w:rsid w:val="00527168"/>
    <w:rsid w:val="005306B0"/>
    <w:rsid w:val="00530C3E"/>
    <w:rsid w:val="00531CAE"/>
    <w:rsid w:val="005332DE"/>
    <w:rsid w:val="005336D5"/>
    <w:rsid w:val="0053439B"/>
    <w:rsid w:val="00534BFE"/>
    <w:rsid w:val="0053505D"/>
    <w:rsid w:val="00535607"/>
    <w:rsid w:val="00537872"/>
    <w:rsid w:val="0053794B"/>
    <w:rsid w:val="00537C48"/>
    <w:rsid w:val="00541D57"/>
    <w:rsid w:val="00542041"/>
    <w:rsid w:val="00542C44"/>
    <w:rsid w:val="00542DA2"/>
    <w:rsid w:val="00544041"/>
    <w:rsid w:val="00547B92"/>
    <w:rsid w:val="005507E2"/>
    <w:rsid w:val="00550A9F"/>
    <w:rsid w:val="00550EBD"/>
    <w:rsid w:val="00551478"/>
    <w:rsid w:val="005518DF"/>
    <w:rsid w:val="00551A9A"/>
    <w:rsid w:val="00555C99"/>
    <w:rsid w:val="0056079F"/>
    <w:rsid w:val="005607EF"/>
    <w:rsid w:val="00560C86"/>
    <w:rsid w:val="00560F1E"/>
    <w:rsid w:val="00567196"/>
    <w:rsid w:val="0056781B"/>
    <w:rsid w:val="00570941"/>
    <w:rsid w:val="0057148E"/>
    <w:rsid w:val="00573473"/>
    <w:rsid w:val="00573734"/>
    <w:rsid w:val="00574523"/>
    <w:rsid w:val="00575382"/>
    <w:rsid w:val="005759F0"/>
    <w:rsid w:val="00575CC7"/>
    <w:rsid w:val="00575FA6"/>
    <w:rsid w:val="005812F2"/>
    <w:rsid w:val="005815E7"/>
    <w:rsid w:val="00581A6A"/>
    <w:rsid w:val="0058403A"/>
    <w:rsid w:val="00584467"/>
    <w:rsid w:val="00585116"/>
    <w:rsid w:val="00585B5A"/>
    <w:rsid w:val="00587DF4"/>
    <w:rsid w:val="00590810"/>
    <w:rsid w:val="005915B1"/>
    <w:rsid w:val="00592496"/>
    <w:rsid w:val="0059360E"/>
    <w:rsid w:val="00593B09"/>
    <w:rsid w:val="005973AF"/>
    <w:rsid w:val="00597619"/>
    <w:rsid w:val="00597CE6"/>
    <w:rsid w:val="005A0A56"/>
    <w:rsid w:val="005A2611"/>
    <w:rsid w:val="005A3499"/>
    <w:rsid w:val="005A3B7B"/>
    <w:rsid w:val="005A3E30"/>
    <w:rsid w:val="005A4101"/>
    <w:rsid w:val="005A5B42"/>
    <w:rsid w:val="005A6B2A"/>
    <w:rsid w:val="005A75B0"/>
    <w:rsid w:val="005A7968"/>
    <w:rsid w:val="005B0F87"/>
    <w:rsid w:val="005B35E7"/>
    <w:rsid w:val="005B4889"/>
    <w:rsid w:val="005B4C8E"/>
    <w:rsid w:val="005B5D3E"/>
    <w:rsid w:val="005B7686"/>
    <w:rsid w:val="005C24F0"/>
    <w:rsid w:val="005C4051"/>
    <w:rsid w:val="005C4A2E"/>
    <w:rsid w:val="005C57CD"/>
    <w:rsid w:val="005C7056"/>
    <w:rsid w:val="005D16AB"/>
    <w:rsid w:val="005D2504"/>
    <w:rsid w:val="005D2752"/>
    <w:rsid w:val="005D2904"/>
    <w:rsid w:val="005D2EA8"/>
    <w:rsid w:val="005D3A6F"/>
    <w:rsid w:val="005E02B1"/>
    <w:rsid w:val="005E1C8E"/>
    <w:rsid w:val="005E20E9"/>
    <w:rsid w:val="005E20F0"/>
    <w:rsid w:val="005E2AFC"/>
    <w:rsid w:val="005E30B1"/>
    <w:rsid w:val="005E41D5"/>
    <w:rsid w:val="005E42DD"/>
    <w:rsid w:val="005E56B4"/>
    <w:rsid w:val="005E6FE8"/>
    <w:rsid w:val="005E7188"/>
    <w:rsid w:val="005E76ED"/>
    <w:rsid w:val="005F01EA"/>
    <w:rsid w:val="005F099E"/>
    <w:rsid w:val="005F5392"/>
    <w:rsid w:val="005F5BF2"/>
    <w:rsid w:val="005F631C"/>
    <w:rsid w:val="00602E66"/>
    <w:rsid w:val="0060365B"/>
    <w:rsid w:val="00603CF4"/>
    <w:rsid w:val="0060532B"/>
    <w:rsid w:val="0060585F"/>
    <w:rsid w:val="00605BD9"/>
    <w:rsid w:val="00605D77"/>
    <w:rsid w:val="0060661F"/>
    <w:rsid w:val="00606871"/>
    <w:rsid w:val="0060692C"/>
    <w:rsid w:val="00610459"/>
    <w:rsid w:val="0061330A"/>
    <w:rsid w:val="00617003"/>
    <w:rsid w:val="00621704"/>
    <w:rsid w:val="00623083"/>
    <w:rsid w:val="00624FD5"/>
    <w:rsid w:val="00624FD9"/>
    <w:rsid w:val="0062560D"/>
    <w:rsid w:val="0062607B"/>
    <w:rsid w:val="006262B0"/>
    <w:rsid w:val="00626907"/>
    <w:rsid w:val="00626990"/>
    <w:rsid w:val="00627217"/>
    <w:rsid w:val="00627676"/>
    <w:rsid w:val="00627F84"/>
    <w:rsid w:val="006308D3"/>
    <w:rsid w:val="00631722"/>
    <w:rsid w:val="00631932"/>
    <w:rsid w:val="00631942"/>
    <w:rsid w:val="006332E2"/>
    <w:rsid w:val="00634E6B"/>
    <w:rsid w:val="00637F5A"/>
    <w:rsid w:val="0064130B"/>
    <w:rsid w:val="0064222E"/>
    <w:rsid w:val="00642C67"/>
    <w:rsid w:val="00642FCC"/>
    <w:rsid w:val="00644A07"/>
    <w:rsid w:val="00645D2E"/>
    <w:rsid w:val="006463A9"/>
    <w:rsid w:val="006463F3"/>
    <w:rsid w:val="006503B8"/>
    <w:rsid w:val="00650C9C"/>
    <w:rsid w:val="00651A25"/>
    <w:rsid w:val="00651F51"/>
    <w:rsid w:val="0065235F"/>
    <w:rsid w:val="006525F4"/>
    <w:rsid w:val="00653144"/>
    <w:rsid w:val="00653D5E"/>
    <w:rsid w:val="0066064C"/>
    <w:rsid w:val="00660A53"/>
    <w:rsid w:val="00660D7D"/>
    <w:rsid w:val="00661768"/>
    <w:rsid w:val="006625AD"/>
    <w:rsid w:val="00662A4A"/>
    <w:rsid w:val="006640B8"/>
    <w:rsid w:val="0066454A"/>
    <w:rsid w:val="006649A0"/>
    <w:rsid w:val="00666A0F"/>
    <w:rsid w:val="00666F80"/>
    <w:rsid w:val="006709B1"/>
    <w:rsid w:val="00675394"/>
    <w:rsid w:val="0067555C"/>
    <w:rsid w:val="00675AA8"/>
    <w:rsid w:val="00675B9A"/>
    <w:rsid w:val="006801FE"/>
    <w:rsid w:val="00680B6C"/>
    <w:rsid w:val="00680EFC"/>
    <w:rsid w:val="006818C3"/>
    <w:rsid w:val="00682215"/>
    <w:rsid w:val="006846A8"/>
    <w:rsid w:val="00684D14"/>
    <w:rsid w:val="0068549C"/>
    <w:rsid w:val="006856D4"/>
    <w:rsid w:val="00687E50"/>
    <w:rsid w:val="00687F7F"/>
    <w:rsid w:val="0069022B"/>
    <w:rsid w:val="00690FEE"/>
    <w:rsid w:val="00691D2B"/>
    <w:rsid w:val="00692C0F"/>
    <w:rsid w:val="00693155"/>
    <w:rsid w:val="00693926"/>
    <w:rsid w:val="0069544C"/>
    <w:rsid w:val="006960EA"/>
    <w:rsid w:val="0069664D"/>
    <w:rsid w:val="006A0330"/>
    <w:rsid w:val="006A0ADC"/>
    <w:rsid w:val="006A1D72"/>
    <w:rsid w:val="006A3040"/>
    <w:rsid w:val="006A385E"/>
    <w:rsid w:val="006A450C"/>
    <w:rsid w:val="006A47D3"/>
    <w:rsid w:val="006A7359"/>
    <w:rsid w:val="006A7DD6"/>
    <w:rsid w:val="006B0476"/>
    <w:rsid w:val="006B25DE"/>
    <w:rsid w:val="006B2B9D"/>
    <w:rsid w:val="006B359C"/>
    <w:rsid w:val="006B4B7D"/>
    <w:rsid w:val="006B50EE"/>
    <w:rsid w:val="006B5462"/>
    <w:rsid w:val="006B6E30"/>
    <w:rsid w:val="006B7ACC"/>
    <w:rsid w:val="006C0281"/>
    <w:rsid w:val="006C26CB"/>
    <w:rsid w:val="006C3CEA"/>
    <w:rsid w:val="006C6D1C"/>
    <w:rsid w:val="006D0594"/>
    <w:rsid w:val="006D0BDF"/>
    <w:rsid w:val="006D1396"/>
    <w:rsid w:val="006D4AB4"/>
    <w:rsid w:val="006D4C6F"/>
    <w:rsid w:val="006D4DC0"/>
    <w:rsid w:val="006D628C"/>
    <w:rsid w:val="006D71EB"/>
    <w:rsid w:val="006D7527"/>
    <w:rsid w:val="006E0A11"/>
    <w:rsid w:val="006E0A39"/>
    <w:rsid w:val="006E0E41"/>
    <w:rsid w:val="006E2CA0"/>
    <w:rsid w:val="006E2CCC"/>
    <w:rsid w:val="006E2E76"/>
    <w:rsid w:val="006E37FF"/>
    <w:rsid w:val="006E3F3C"/>
    <w:rsid w:val="006E447E"/>
    <w:rsid w:val="006E471B"/>
    <w:rsid w:val="006E4B2F"/>
    <w:rsid w:val="006E4BEB"/>
    <w:rsid w:val="006E4C30"/>
    <w:rsid w:val="006E515E"/>
    <w:rsid w:val="006E5D3B"/>
    <w:rsid w:val="006E6669"/>
    <w:rsid w:val="006E6B87"/>
    <w:rsid w:val="006E7134"/>
    <w:rsid w:val="006E7421"/>
    <w:rsid w:val="006E7817"/>
    <w:rsid w:val="006E7FCD"/>
    <w:rsid w:val="006F3F67"/>
    <w:rsid w:val="006F4EA1"/>
    <w:rsid w:val="006F6A9C"/>
    <w:rsid w:val="006F7BFA"/>
    <w:rsid w:val="00700580"/>
    <w:rsid w:val="00701483"/>
    <w:rsid w:val="00701BBF"/>
    <w:rsid w:val="0070442D"/>
    <w:rsid w:val="0070758D"/>
    <w:rsid w:val="00712754"/>
    <w:rsid w:val="00712CE1"/>
    <w:rsid w:val="00712F60"/>
    <w:rsid w:val="00715860"/>
    <w:rsid w:val="00716907"/>
    <w:rsid w:val="00717E8C"/>
    <w:rsid w:val="00720F17"/>
    <w:rsid w:val="00721ADB"/>
    <w:rsid w:val="00721B9F"/>
    <w:rsid w:val="00721C9A"/>
    <w:rsid w:val="00721E9A"/>
    <w:rsid w:val="007237CE"/>
    <w:rsid w:val="00724132"/>
    <w:rsid w:val="00724888"/>
    <w:rsid w:val="007254F8"/>
    <w:rsid w:val="00726F86"/>
    <w:rsid w:val="0073015B"/>
    <w:rsid w:val="007304AC"/>
    <w:rsid w:val="00732563"/>
    <w:rsid w:val="00732F0B"/>
    <w:rsid w:val="00733A75"/>
    <w:rsid w:val="00735A71"/>
    <w:rsid w:val="00736514"/>
    <w:rsid w:val="007366C6"/>
    <w:rsid w:val="007367E2"/>
    <w:rsid w:val="00737BB2"/>
    <w:rsid w:val="00740BEB"/>
    <w:rsid w:val="00742DAB"/>
    <w:rsid w:val="00743B69"/>
    <w:rsid w:val="00745A9E"/>
    <w:rsid w:val="00745DE5"/>
    <w:rsid w:val="0075061D"/>
    <w:rsid w:val="00752585"/>
    <w:rsid w:val="00762268"/>
    <w:rsid w:val="007647AA"/>
    <w:rsid w:val="00764EA2"/>
    <w:rsid w:val="00767D7B"/>
    <w:rsid w:val="00771BF8"/>
    <w:rsid w:val="007747CA"/>
    <w:rsid w:val="00775B5B"/>
    <w:rsid w:val="00776352"/>
    <w:rsid w:val="00777F0D"/>
    <w:rsid w:val="00781FDE"/>
    <w:rsid w:val="00783A75"/>
    <w:rsid w:val="0078507E"/>
    <w:rsid w:val="00785ACF"/>
    <w:rsid w:val="00785B8C"/>
    <w:rsid w:val="00785D9A"/>
    <w:rsid w:val="007866FF"/>
    <w:rsid w:val="007904BE"/>
    <w:rsid w:val="007905C4"/>
    <w:rsid w:val="00791B78"/>
    <w:rsid w:val="00791E82"/>
    <w:rsid w:val="00793146"/>
    <w:rsid w:val="00794106"/>
    <w:rsid w:val="007953F2"/>
    <w:rsid w:val="007961F1"/>
    <w:rsid w:val="00797BE3"/>
    <w:rsid w:val="007A0D6A"/>
    <w:rsid w:val="007A3560"/>
    <w:rsid w:val="007A3DCC"/>
    <w:rsid w:val="007A4D98"/>
    <w:rsid w:val="007A6110"/>
    <w:rsid w:val="007A61A1"/>
    <w:rsid w:val="007B17E9"/>
    <w:rsid w:val="007B271F"/>
    <w:rsid w:val="007B4B9F"/>
    <w:rsid w:val="007B6334"/>
    <w:rsid w:val="007C06D1"/>
    <w:rsid w:val="007C1D8D"/>
    <w:rsid w:val="007C229B"/>
    <w:rsid w:val="007C22D4"/>
    <w:rsid w:val="007C2C3C"/>
    <w:rsid w:val="007C4371"/>
    <w:rsid w:val="007C6F42"/>
    <w:rsid w:val="007C7EA5"/>
    <w:rsid w:val="007D326A"/>
    <w:rsid w:val="007D42C6"/>
    <w:rsid w:val="007D53DF"/>
    <w:rsid w:val="007D7946"/>
    <w:rsid w:val="007D7E23"/>
    <w:rsid w:val="007E038B"/>
    <w:rsid w:val="007E0926"/>
    <w:rsid w:val="007E0F0D"/>
    <w:rsid w:val="007E1CDA"/>
    <w:rsid w:val="007E496B"/>
    <w:rsid w:val="007E6B52"/>
    <w:rsid w:val="007E6D2C"/>
    <w:rsid w:val="007F0C3A"/>
    <w:rsid w:val="007F1BC3"/>
    <w:rsid w:val="007F1C40"/>
    <w:rsid w:val="007F2AA0"/>
    <w:rsid w:val="007F3282"/>
    <w:rsid w:val="007F3901"/>
    <w:rsid w:val="007F3D58"/>
    <w:rsid w:val="007F3FCB"/>
    <w:rsid w:val="007F401C"/>
    <w:rsid w:val="007F4CF1"/>
    <w:rsid w:val="007F4E96"/>
    <w:rsid w:val="007F720E"/>
    <w:rsid w:val="007F7600"/>
    <w:rsid w:val="007F7C40"/>
    <w:rsid w:val="00803E16"/>
    <w:rsid w:val="008042E4"/>
    <w:rsid w:val="00804BF6"/>
    <w:rsid w:val="008052F8"/>
    <w:rsid w:val="00811D27"/>
    <w:rsid w:val="0081293E"/>
    <w:rsid w:val="0081365C"/>
    <w:rsid w:val="008158E5"/>
    <w:rsid w:val="008159E0"/>
    <w:rsid w:val="00815D81"/>
    <w:rsid w:val="00817E20"/>
    <w:rsid w:val="00822B79"/>
    <w:rsid w:val="00823379"/>
    <w:rsid w:val="00823536"/>
    <w:rsid w:val="00823A6A"/>
    <w:rsid w:val="008242CB"/>
    <w:rsid w:val="008260D3"/>
    <w:rsid w:val="00826A21"/>
    <w:rsid w:val="00827DF3"/>
    <w:rsid w:val="00830EE8"/>
    <w:rsid w:val="008313E7"/>
    <w:rsid w:val="00835EDE"/>
    <w:rsid w:val="00837E44"/>
    <w:rsid w:val="00840751"/>
    <w:rsid w:val="0084395A"/>
    <w:rsid w:val="008447E3"/>
    <w:rsid w:val="0084483C"/>
    <w:rsid w:val="00846916"/>
    <w:rsid w:val="00846D64"/>
    <w:rsid w:val="00846FEF"/>
    <w:rsid w:val="00851078"/>
    <w:rsid w:val="008548CA"/>
    <w:rsid w:val="00856557"/>
    <w:rsid w:val="00860068"/>
    <w:rsid w:val="0086076F"/>
    <w:rsid w:val="008609FD"/>
    <w:rsid w:val="00865297"/>
    <w:rsid w:val="008665DA"/>
    <w:rsid w:val="00872914"/>
    <w:rsid w:val="0087397A"/>
    <w:rsid w:val="008761E7"/>
    <w:rsid w:val="008767C0"/>
    <w:rsid w:val="00876EFD"/>
    <w:rsid w:val="00877904"/>
    <w:rsid w:val="008807F3"/>
    <w:rsid w:val="00883313"/>
    <w:rsid w:val="00883527"/>
    <w:rsid w:val="00883FA7"/>
    <w:rsid w:val="00884AAA"/>
    <w:rsid w:val="00886705"/>
    <w:rsid w:val="00887B5C"/>
    <w:rsid w:val="00887B6E"/>
    <w:rsid w:val="00887E96"/>
    <w:rsid w:val="00890D67"/>
    <w:rsid w:val="00891278"/>
    <w:rsid w:val="00891CEA"/>
    <w:rsid w:val="00892C44"/>
    <w:rsid w:val="0089341C"/>
    <w:rsid w:val="008941E0"/>
    <w:rsid w:val="008954B3"/>
    <w:rsid w:val="00896670"/>
    <w:rsid w:val="00897D6C"/>
    <w:rsid w:val="008A1C87"/>
    <w:rsid w:val="008A241F"/>
    <w:rsid w:val="008A5A92"/>
    <w:rsid w:val="008B1C6D"/>
    <w:rsid w:val="008B1FE8"/>
    <w:rsid w:val="008B2C0E"/>
    <w:rsid w:val="008B2D0E"/>
    <w:rsid w:val="008B3F8A"/>
    <w:rsid w:val="008B4EC7"/>
    <w:rsid w:val="008B64C0"/>
    <w:rsid w:val="008B6E24"/>
    <w:rsid w:val="008B7F8E"/>
    <w:rsid w:val="008B7FE4"/>
    <w:rsid w:val="008C076B"/>
    <w:rsid w:val="008C10B6"/>
    <w:rsid w:val="008C305E"/>
    <w:rsid w:val="008C3A89"/>
    <w:rsid w:val="008C3F97"/>
    <w:rsid w:val="008C4678"/>
    <w:rsid w:val="008C5E85"/>
    <w:rsid w:val="008C6100"/>
    <w:rsid w:val="008C6DE0"/>
    <w:rsid w:val="008C7CA6"/>
    <w:rsid w:val="008D0020"/>
    <w:rsid w:val="008D0E7D"/>
    <w:rsid w:val="008D1D68"/>
    <w:rsid w:val="008D2542"/>
    <w:rsid w:val="008D2889"/>
    <w:rsid w:val="008D4977"/>
    <w:rsid w:val="008D4CE7"/>
    <w:rsid w:val="008D67D6"/>
    <w:rsid w:val="008E3117"/>
    <w:rsid w:val="008E4D74"/>
    <w:rsid w:val="008E5F81"/>
    <w:rsid w:val="008E6B13"/>
    <w:rsid w:val="008E73D5"/>
    <w:rsid w:val="008E7871"/>
    <w:rsid w:val="008E7D90"/>
    <w:rsid w:val="008E7DD8"/>
    <w:rsid w:val="008F1384"/>
    <w:rsid w:val="008F36C3"/>
    <w:rsid w:val="008F7422"/>
    <w:rsid w:val="008F74DD"/>
    <w:rsid w:val="00900495"/>
    <w:rsid w:val="0090196F"/>
    <w:rsid w:val="00901FD4"/>
    <w:rsid w:val="00902644"/>
    <w:rsid w:val="00903DAB"/>
    <w:rsid w:val="00905524"/>
    <w:rsid w:val="00905633"/>
    <w:rsid w:val="00906233"/>
    <w:rsid w:val="00907A7A"/>
    <w:rsid w:val="00907CC8"/>
    <w:rsid w:val="0091334C"/>
    <w:rsid w:val="00915753"/>
    <w:rsid w:val="00915DB9"/>
    <w:rsid w:val="00915E1D"/>
    <w:rsid w:val="009162AF"/>
    <w:rsid w:val="009200E3"/>
    <w:rsid w:val="0092112A"/>
    <w:rsid w:val="00922162"/>
    <w:rsid w:val="00923A7F"/>
    <w:rsid w:val="00924E58"/>
    <w:rsid w:val="00924EC2"/>
    <w:rsid w:val="009252F3"/>
    <w:rsid w:val="00925C69"/>
    <w:rsid w:val="009260AA"/>
    <w:rsid w:val="00926ADD"/>
    <w:rsid w:val="009276C9"/>
    <w:rsid w:val="009307E0"/>
    <w:rsid w:val="009324F7"/>
    <w:rsid w:val="009328A5"/>
    <w:rsid w:val="00933C33"/>
    <w:rsid w:val="00933DDE"/>
    <w:rsid w:val="009341C9"/>
    <w:rsid w:val="009372FA"/>
    <w:rsid w:val="00937FCC"/>
    <w:rsid w:val="0094220D"/>
    <w:rsid w:val="009424C4"/>
    <w:rsid w:val="00942CAC"/>
    <w:rsid w:val="00945CE9"/>
    <w:rsid w:val="00945E18"/>
    <w:rsid w:val="00945EC5"/>
    <w:rsid w:val="009467D9"/>
    <w:rsid w:val="009474AA"/>
    <w:rsid w:val="009479EB"/>
    <w:rsid w:val="00947EBC"/>
    <w:rsid w:val="00950742"/>
    <w:rsid w:val="00950A33"/>
    <w:rsid w:val="00951CB5"/>
    <w:rsid w:val="00953066"/>
    <w:rsid w:val="0095586C"/>
    <w:rsid w:val="00956135"/>
    <w:rsid w:val="00956FC7"/>
    <w:rsid w:val="0095731E"/>
    <w:rsid w:val="00960569"/>
    <w:rsid w:val="00960A26"/>
    <w:rsid w:val="00962635"/>
    <w:rsid w:val="00963F11"/>
    <w:rsid w:val="00965660"/>
    <w:rsid w:val="009662F0"/>
    <w:rsid w:val="00970BC6"/>
    <w:rsid w:val="00970E35"/>
    <w:rsid w:val="00971198"/>
    <w:rsid w:val="009712CE"/>
    <w:rsid w:val="0097202E"/>
    <w:rsid w:val="0097283E"/>
    <w:rsid w:val="00975C0A"/>
    <w:rsid w:val="00976085"/>
    <w:rsid w:val="009769D1"/>
    <w:rsid w:val="00976BCA"/>
    <w:rsid w:val="00977995"/>
    <w:rsid w:val="009824BA"/>
    <w:rsid w:val="00982CCF"/>
    <w:rsid w:val="00984CEF"/>
    <w:rsid w:val="0098538E"/>
    <w:rsid w:val="00986689"/>
    <w:rsid w:val="009870ED"/>
    <w:rsid w:val="009873C3"/>
    <w:rsid w:val="009875E9"/>
    <w:rsid w:val="00987B7B"/>
    <w:rsid w:val="00991749"/>
    <w:rsid w:val="00991A3A"/>
    <w:rsid w:val="0099376D"/>
    <w:rsid w:val="0099377E"/>
    <w:rsid w:val="009A0C4B"/>
    <w:rsid w:val="009A0CA7"/>
    <w:rsid w:val="009A0FF6"/>
    <w:rsid w:val="009A1556"/>
    <w:rsid w:val="009A3028"/>
    <w:rsid w:val="009A38BB"/>
    <w:rsid w:val="009A3F56"/>
    <w:rsid w:val="009A7437"/>
    <w:rsid w:val="009B3F8C"/>
    <w:rsid w:val="009B51C0"/>
    <w:rsid w:val="009B63FD"/>
    <w:rsid w:val="009B6506"/>
    <w:rsid w:val="009B6E07"/>
    <w:rsid w:val="009B7D68"/>
    <w:rsid w:val="009C0C61"/>
    <w:rsid w:val="009C0E12"/>
    <w:rsid w:val="009C0E21"/>
    <w:rsid w:val="009C3175"/>
    <w:rsid w:val="009C3C91"/>
    <w:rsid w:val="009C4496"/>
    <w:rsid w:val="009C44BF"/>
    <w:rsid w:val="009C4AEB"/>
    <w:rsid w:val="009C4FAB"/>
    <w:rsid w:val="009C6219"/>
    <w:rsid w:val="009C7D56"/>
    <w:rsid w:val="009D09D5"/>
    <w:rsid w:val="009D406E"/>
    <w:rsid w:val="009D5977"/>
    <w:rsid w:val="009D7B55"/>
    <w:rsid w:val="009D7D3D"/>
    <w:rsid w:val="009E123D"/>
    <w:rsid w:val="009E132E"/>
    <w:rsid w:val="009E157D"/>
    <w:rsid w:val="009E455B"/>
    <w:rsid w:val="009E635C"/>
    <w:rsid w:val="009E6632"/>
    <w:rsid w:val="009E6740"/>
    <w:rsid w:val="009F0E27"/>
    <w:rsid w:val="009F2284"/>
    <w:rsid w:val="009F283F"/>
    <w:rsid w:val="009F4F22"/>
    <w:rsid w:val="009F6CDE"/>
    <w:rsid w:val="00A00B59"/>
    <w:rsid w:val="00A01569"/>
    <w:rsid w:val="00A0272C"/>
    <w:rsid w:val="00A0284B"/>
    <w:rsid w:val="00A02B93"/>
    <w:rsid w:val="00A02BA5"/>
    <w:rsid w:val="00A03B39"/>
    <w:rsid w:val="00A04BAB"/>
    <w:rsid w:val="00A06F9B"/>
    <w:rsid w:val="00A07A8B"/>
    <w:rsid w:val="00A104A9"/>
    <w:rsid w:val="00A107D9"/>
    <w:rsid w:val="00A121A9"/>
    <w:rsid w:val="00A15E64"/>
    <w:rsid w:val="00A27CF7"/>
    <w:rsid w:val="00A30552"/>
    <w:rsid w:val="00A328C3"/>
    <w:rsid w:val="00A365A0"/>
    <w:rsid w:val="00A37000"/>
    <w:rsid w:val="00A405AC"/>
    <w:rsid w:val="00A42530"/>
    <w:rsid w:val="00A4408F"/>
    <w:rsid w:val="00A447EA"/>
    <w:rsid w:val="00A44FE1"/>
    <w:rsid w:val="00A4514C"/>
    <w:rsid w:val="00A4549F"/>
    <w:rsid w:val="00A45C16"/>
    <w:rsid w:val="00A46040"/>
    <w:rsid w:val="00A468A8"/>
    <w:rsid w:val="00A47956"/>
    <w:rsid w:val="00A50265"/>
    <w:rsid w:val="00A50AB7"/>
    <w:rsid w:val="00A50FE5"/>
    <w:rsid w:val="00A51669"/>
    <w:rsid w:val="00A5226B"/>
    <w:rsid w:val="00A522FD"/>
    <w:rsid w:val="00A52829"/>
    <w:rsid w:val="00A539B1"/>
    <w:rsid w:val="00A53F2B"/>
    <w:rsid w:val="00A54587"/>
    <w:rsid w:val="00A548BF"/>
    <w:rsid w:val="00A552C5"/>
    <w:rsid w:val="00A553F9"/>
    <w:rsid w:val="00A5548C"/>
    <w:rsid w:val="00A56B0A"/>
    <w:rsid w:val="00A5776C"/>
    <w:rsid w:val="00A64C6D"/>
    <w:rsid w:val="00A651C3"/>
    <w:rsid w:val="00A66104"/>
    <w:rsid w:val="00A67B3A"/>
    <w:rsid w:val="00A70177"/>
    <w:rsid w:val="00A732F8"/>
    <w:rsid w:val="00A751D4"/>
    <w:rsid w:val="00A7606A"/>
    <w:rsid w:val="00A80705"/>
    <w:rsid w:val="00A81283"/>
    <w:rsid w:val="00A81C76"/>
    <w:rsid w:val="00A83FA1"/>
    <w:rsid w:val="00A86186"/>
    <w:rsid w:val="00A907D7"/>
    <w:rsid w:val="00A93C8E"/>
    <w:rsid w:val="00A93C9F"/>
    <w:rsid w:val="00A9586C"/>
    <w:rsid w:val="00AA33F6"/>
    <w:rsid w:val="00AA4233"/>
    <w:rsid w:val="00AA5E84"/>
    <w:rsid w:val="00AA7123"/>
    <w:rsid w:val="00AB06D2"/>
    <w:rsid w:val="00AB0BB1"/>
    <w:rsid w:val="00AB1DBE"/>
    <w:rsid w:val="00AB24DD"/>
    <w:rsid w:val="00AB31CE"/>
    <w:rsid w:val="00AB4DE2"/>
    <w:rsid w:val="00AB7695"/>
    <w:rsid w:val="00AB7DD9"/>
    <w:rsid w:val="00AC01D3"/>
    <w:rsid w:val="00AC0A9A"/>
    <w:rsid w:val="00AC1BAC"/>
    <w:rsid w:val="00AC7309"/>
    <w:rsid w:val="00AC7B51"/>
    <w:rsid w:val="00AC7ECC"/>
    <w:rsid w:val="00AD177D"/>
    <w:rsid w:val="00AD3CF3"/>
    <w:rsid w:val="00AD528C"/>
    <w:rsid w:val="00AD6123"/>
    <w:rsid w:val="00AD6A8A"/>
    <w:rsid w:val="00AE163E"/>
    <w:rsid w:val="00AE1FF2"/>
    <w:rsid w:val="00AE256F"/>
    <w:rsid w:val="00AE3DAE"/>
    <w:rsid w:val="00AE4167"/>
    <w:rsid w:val="00AE53A4"/>
    <w:rsid w:val="00AE7199"/>
    <w:rsid w:val="00AF0477"/>
    <w:rsid w:val="00AF07A6"/>
    <w:rsid w:val="00AF0A42"/>
    <w:rsid w:val="00AF4ADC"/>
    <w:rsid w:val="00AF6F1B"/>
    <w:rsid w:val="00AF7771"/>
    <w:rsid w:val="00B0177A"/>
    <w:rsid w:val="00B03419"/>
    <w:rsid w:val="00B0438D"/>
    <w:rsid w:val="00B04435"/>
    <w:rsid w:val="00B04667"/>
    <w:rsid w:val="00B05A39"/>
    <w:rsid w:val="00B0796A"/>
    <w:rsid w:val="00B07AC9"/>
    <w:rsid w:val="00B103B4"/>
    <w:rsid w:val="00B10693"/>
    <w:rsid w:val="00B10AD1"/>
    <w:rsid w:val="00B12FB5"/>
    <w:rsid w:val="00B201FE"/>
    <w:rsid w:val="00B20B6C"/>
    <w:rsid w:val="00B21B01"/>
    <w:rsid w:val="00B2471D"/>
    <w:rsid w:val="00B25229"/>
    <w:rsid w:val="00B27D90"/>
    <w:rsid w:val="00B3171E"/>
    <w:rsid w:val="00B3256A"/>
    <w:rsid w:val="00B33A72"/>
    <w:rsid w:val="00B33C46"/>
    <w:rsid w:val="00B33D96"/>
    <w:rsid w:val="00B34E14"/>
    <w:rsid w:val="00B35E3D"/>
    <w:rsid w:val="00B36BC8"/>
    <w:rsid w:val="00B37044"/>
    <w:rsid w:val="00B40031"/>
    <w:rsid w:val="00B4033A"/>
    <w:rsid w:val="00B4167F"/>
    <w:rsid w:val="00B430D6"/>
    <w:rsid w:val="00B4649A"/>
    <w:rsid w:val="00B521B4"/>
    <w:rsid w:val="00B525B9"/>
    <w:rsid w:val="00B53411"/>
    <w:rsid w:val="00B542A3"/>
    <w:rsid w:val="00B574D3"/>
    <w:rsid w:val="00B613B0"/>
    <w:rsid w:val="00B61E89"/>
    <w:rsid w:val="00B6207F"/>
    <w:rsid w:val="00B6289D"/>
    <w:rsid w:val="00B639A3"/>
    <w:rsid w:val="00B63ADE"/>
    <w:rsid w:val="00B63CBA"/>
    <w:rsid w:val="00B6532B"/>
    <w:rsid w:val="00B66339"/>
    <w:rsid w:val="00B675B1"/>
    <w:rsid w:val="00B7048E"/>
    <w:rsid w:val="00B704CE"/>
    <w:rsid w:val="00B71C34"/>
    <w:rsid w:val="00B72709"/>
    <w:rsid w:val="00B72C8B"/>
    <w:rsid w:val="00B7305D"/>
    <w:rsid w:val="00B73167"/>
    <w:rsid w:val="00B731EE"/>
    <w:rsid w:val="00B73F59"/>
    <w:rsid w:val="00B74633"/>
    <w:rsid w:val="00B75632"/>
    <w:rsid w:val="00B76D13"/>
    <w:rsid w:val="00B77EFB"/>
    <w:rsid w:val="00B8043D"/>
    <w:rsid w:val="00B836DB"/>
    <w:rsid w:val="00B84126"/>
    <w:rsid w:val="00B84E82"/>
    <w:rsid w:val="00B85008"/>
    <w:rsid w:val="00B86768"/>
    <w:rsid w:val="00B871D1"/>
    <w:rsid w:val="00B87A3B"/>
    <w:rsid w:val="00B92071"/>
    <w:rsid w:val="00B92C78"/>
    <w:rsid w:val="00B955EB"/>
    <w:rsid w:val="00BA19DE"/>
    <w:rsid w:val="00BA23A4"/>
    <w:rsid w:val="00BA2402"/>
    <w:rsid w:val="00BA5EC8"/>
    <w:rsid w:val="00BA71F0"/>
    <w:rsid w:val="00BA77AF"/>
    <w:rsid w:val="00BB01E5"/>
    <w:rsid w:val="00BB0A30"/>
    <w:rsid w:val="00BB0F5D"/>
    <w:rsid w:val="00BB1D0E"/>
    <w:rsid w:val="00BB1DA5"/>
    <w:rsid w:val="00BB219C"/>
    <w:rsid w:val="00BB251E"/>
    <w:rsid w:val="00BB3943"/>
    <w:rsid w:val="00BB3CF5"/>
    <w:rsid w:val="00BB5361"/>
    <w:rsid w:val="00BB5BEC"/>
    <w:rsid w:val="00BB5D14"/>
    <w:rsid w:val="00BB5EBA"/>
    <w:rsid w:val="00BB5F80"/>
    <w:rsid w:val="00BB75E1"/>
    <w:rsid w:val="00BB7B5B"/>
    <w:rsid w:val="00BB7F72"/>
    <w:rsid w:val="00BC00BB"/>
    <w:rsid w:val="00BC0482"/>
    <w:rsid w:val="00BC13ED"/>
    <w:rsid w:val="00BC26C8"/>
    <w:rsid w:val="00BC55F2"/>
    <w:rsid w:val="00BD0254"/>
    <w:rsid w:val="00BD047B"/>
    <w:rsid w:val="00BD1409"/>
    <w:rsid w:val="00BD1666"/>
    <w:rsid w:val="00BD339C"/>
    <w:rsid w:val="00BD38DD"/>
    <w:rsid w:val="00BD47C5"/>
    <w:rsid w:val="00BD56E4"/>
    <w:rsid w:val="00BE06C1"/>
    <w:rsid w:val="00BE07DB"/>
    <w:rsid w:val="00BE111C"/>
    <w:rsid w:val="00BE145F"/>
    <w:rsid w:val="00BE27EC"/>
    <w:rsid w:val="00BE2E32"/>
    <w:rsid w:val="00BE3248"/>
    <w:rsid w:val="00BE3C93"/>
    <w:rsid w:val="00BE520B"/>
    <w:rsid w:val="00BE52E8"/>
    <w:rsid w:val="00BE55A4"/>
    <w:rsid w:val="00BE6866"/>
    <w:rsid w:val="00BF0259"/>
    <w:rsid w:val="00BF0A3A"/>
    <w:rsid w:val="00BF3FF3"/>
    <w:rsid w:val="00BF4359"/>
    <w:rsid w:val="00BF5623"/>
    <w:rsid w:val="00BF5C18"/>
    <w:rsid w:val="00BF5CD7"/>
    <w:rsid w:val="00C0043B"/>
    <w:rsid w:val="00C00521"/>
    <w:rsid w:val="00C00D46"/>
    <w:rsid w:val="00C01AFF"/>
    <w:rsid w:val="00C026D3"/>
    <w:rsid w:val="00C04789"/>
    <w:rsid w:val="00C06BE1"/>
    <w:rsid w:val="00C07EAC"/>
    <w:rsid w:val="00C07F09"/>
    <w:rsid w:val="00C1119E"/>
    <w:rsid w:val="00C11BFA"/>
    <w:rsid w:val="00C11FB8"/>
    <w:rsid w:val="00C1213C"/>
    <w:rsid w:val="00C144AE"/>
    <w:rsid w:val="00C1488F"/>
    <w:rsid w:val="00C14C17"/>
    <w:rsid w:val="00C161B8"/>
    <w:rsid w:val="00C16F98"/>
    <w:rsid w:val="00C218BA"/>
    <w:rsid w:val="00C23211"/>
    <w:rsid w:val="00C23D02"/>
    <w:rsid w:val="00C31091"/>
    <w:rsid w:val="00C327B2"/>
    <w:rsid w:val="00C34593"/>
    <w:rsid w:val="00C3579A"/>
    <w:rsid w:val="00C35DEA"/>
    <w:rsid w:val="00C379C1"/>
    <w:rsid w:val="00C402DA"/>
    <w:rsid w:val="00C40B53"/>
    <w:rsid w:val="00C4290B"/>
    <w:rsid w:val="00C43A7D"/>
    <w:rsid w:val="00C447A5"/>
    <w:rsid w:val="00C447F3"/>
    <w:rsid w:val="00C452F5"/>
    <w:rsid w:val="00C45F34"/>
    <w:rsid w:val="00C47943"/>
    <w:rsid w:val="00C50A3F"/>
    <w:rsid w:val="00C52031"/>
    <w:rsid w:val="00C52901"/>
    <w:rsid w:val="00C52948"/>
    <w:rsid w:val="00C52D56"/>
    <w:rsid w:val="00C5318D"/>
    <w:rsid w:val="00C55191"/>
    <w:rsid w:val="00C55EF7"/>
    <w:rsid w:val="00C62029"/>
    <w:rsid w:val="00C63E96"/>
    <w:rsid w:val="00C64F5F"/>
    <w:rsid w:val="00C65C0A"/>
    <w:rsid w:val="00C65F4E"/>
    <w:rsid w:val="00C65F6E"/>
    <w:rsid w:val="00C660C9"/>
    <w:rsid w:val="00C67019"/>
    <w:rsid w:val="00C72008"/>
    <w:rsid w:val="00C72690"/>
    <w:rsid w:val="00C7309D"/>
    <w:rsid w:val="00C7382A"/>
    <w:rsid w:val="00C7402D"/>
    <w:rsid w:val="00C7488D"/>
    <w:rsid w:val="00C77BEB"/>
    <w:rsid w:val="00C80B84"/>
    <w:rsid w:val="00C81BFD"/>
    <w:rsid w:val="00C86D7C"/>
    <w:rsid w:val="00C87EE1"/>
    <w:rsid w:val="00C909A3"/>
    <w:rsid w:val="00C91B27"/>
    <w:rsid w:val="00C91B35"/>
    <w:rsid w:val="00C91E07"/>
    <w:rsid w:val="00C926F8"/>
    <w:rsid w:val="00C94E9D"/>
    <w:rsid w:val="00C96566"/>
    <w:rsid w:val="00CA0371"/>
    <w:rsid w:val="00CA27A3"/>
    <w:rsid w:val="00CA5A5A"/>
    <w:rsid w:val="00CA605D"/>
    <w:rsid w:val="00CA7411"/>
    <w:rsid w:val="00CB02A4"/>
    <w:rsid w:val="00CB04AA"/>
    <w:rsid w:val="00CB1EAF"/>
    <w:rsid w:val="00CB3152"/>
    <w:rsid w:val="00CB6E52"/>
    <w:rsid w:val="00CB6F4A"/>
    <w:rsid w:val="00CB7BA8"/>
    <w:rsid w:val="00CC00A4"/>
    <w:rsid w:val="00CC0C81"/>
    <w:rsid w:val="00CC13FD"/>
    <w:rsid w:val="00CC14CD"/>
    <w:rsid w:val="00CC1B65"/>
    <w:rsid w:val="00CC5027"/>
    <w:rsid w:val="00CC5207"/>
    <w:rsid w:val="00CC6526"/>
    <w:rsid w:val="00CC7820"/>
    <w:rsid w:val="00CC784C"/>
    <w:rsid w:val="00CD0083"/>
    <w:rsid w:val="00CD0CF3"/>
    <w:rsid w:val="00CD36A8"/>
    <w:rsid w:val="00CD4243"/>
    <w:rsid w:val="00CD662C"/>
    <w:rsid w:val="00CE1175"/>
    <w:rsid w:val="00CE19D1"/>
    <w:rsid w:val="00CE3B74"/>
    <w:rsid w:val="00CE4916"/>
    <w:rsid w:val="00CE4F3D"/>
    <w:rsid w:val="00CE69F1"/>
    <w:rsid w:val="00CF06A2"/>
    <w:rsid w:val="00CF0DD4"/>
    <w:rsid w:val="00CF19AD"/>
    <w:rsid w:val="00CF4740"/>
    <w:rsid w:val="00CF51EC"/>
    <w:rsid w:val="00CF5D2E"/>
    <w:rsid w:val="00CF766D"/>
    <w:rsid w:val="00CF78EE"/>
    <w:rsid w:val="00D01BF4"/>
    <w:rsid w:val="00D02E45"/>
    <w:rsid w:val="00D0403A"/>
    <w:rsid w:val="00D0512D"/>
    <w:rsid w:val="00D05C8A"/>
    <w:rsid w:val="00D070B6"/>
    <w:rsid w:val="00D101ED"/>
    <w:rsid w:val="00D1110B"/>
    <w:rsid w:val="00D11BC9"/>
    <w:rsid w:val="00D11D8D"/>
    <w:rsid w:val="00D14021"/>
    <w:rsid w:val="00D14215"/>
    <w:rsid w:val="00D15728"/>
    <w:rsid w:val="00D20D47"/>
    <w:rsid w:val="00D24DB6"/>
    <w:rsid w:val="00D24EAC"/>
    <w:rsid w:val="00D25E94"/>
    <w:rsid w:val="00D27683"/>
    <w:rsid w:val="00D306EB"/>
    <w:rsid w:val="00D31582"/>
    <w:rsid w:val="00D31AAE"/>
    <w:rsid w:val="00D32130"/>
    <w:rsid w:val="00D328EC"/>
    <w:rsid w:val="00D33273"/>
    <w:rsid w:val="00D3428B"/>
    <w:rsid w:val="00D34AEB"/>
    <w:rsid w:val="00D35917"/>
    <w:rsid w:val="00D3628C"/>
    <w:rsid w:val="00D37411"/>
    <w:rsid w:val="00D4065E"/>
    <w:rsid w:val="00D452DB"/>
    <w:rsid w:val="00D46393"/>
    <w:rsid w:val="00D46C6C"/>
    <w:rsid w:val="00D502BE"/>
    <w:rsid w:val="00D5049B"/>
    <w:rsid w:val="00D509A5"/>
    <w:rsid w:val="00D50DBF"/>
    <w:rsid w:val="00D5269B"/>
    <w:rsid w:val="00D55EE5"/>
    <w:rsid w:val="00D57A16"/>
    <w:rsid w:val="00D600A7"/>
    <w:rsid w:val="00D620D7"/>
    <w:rsid w:val="00D623AB"/>
    <w:rsid w:val="00D6270B"/>
    <w:rsid w:val="00D62731"/>
    <w:rsid w:val="00D6641E"/>
    <w:rsid w:val="00D677A9"/>
    <w:rsid w:val="00D7322B"/>
    <w:rsid w:val="00D735A1"/>
    <w:rsid w:val="00D736EA"/>
    <w:rsid w:val="00D73EFF"/>
    <w:rsid w:val="00D74444"/>
    <w:rsid w:val="00D74F12"/>
    <w:rsid w:val="00D76812"/>
    <w:rsid w:val="00D76A19"/>
    <w:rsid w:val="00D8065E"/>
    <w:rsid w:val="00D80908"/>
    <w:rsid w:val="00D809E9"/>
    <w:rsid w:val="00D818F9"/>
    <w:rsid w:val="00D8199B"/>
    <w:rsid w:val="00D82230"/>
    <w:rsid w:val="00D83C0F"/>
    <w:rsid w:val="00D83D02"/>
    <w:rsid w:val="00D854CE"/>
    <w:rsid w:val="00D85652"/>
    <w:rsid w:val="00D85C4D"/>
    <w:rsid w:val="00D864D6"/>
    <w:rsid w:val="00D86942"/>
    <w:rsid w:val="00D8759E"/>
    <w:rsid w:val="00D90EEA"/>
    <w:rsid w:val="00D91157"/>
    <w:rsid w:val="00D91218"/>
    <w:rsid w:val="00D92B18"/>
    <w:rsid w:val="00D94A86"/>
    <w:rsid w:val="00D95FE0"/>
    <w:rsid w:val="00D9648B"/>
    <w:rsid w:val="00D96BD7"/>
    <w:rsid w:val="00DA0A9A"/>
    <w:rsid w:val="00DA0C60"/>
    <w:rsid w:val="00DA1D03"/>
    <w:rsid w:val="00DA49D5"/>
    <w:rsid w:val="00DA5E77"/>
    <w:rsid w:val="00DA7690"/>
    <w:rsid w:val="00DA7808"/>
    <w:rsid w:val="00DB116D"/>
    <w:rsid w:val="00DB49E7"/>
    <w:rsid w:val="00DB5193"/>
    <w:rsid w:val="00DB56CE"/>
    <w:rsid w:val="00DC1124"/>
    <w:rsid w:val="00DC16C2"/>
    <w:rsid w:val="00DC1734"/>
    <w:rsid w:val="00DC5774"/>
    <w:rsid w:val="00DC747C"/>
    <w:rsid w:val="00DC7E44"/>
    <w:rsid w:val="00DC7EE7"/>
    <w:rsid w:val="00DD0D0E"/>
    <w:rsid w:val="00DD180D"/>
    <w:rsid w:val="00DD1DC3"/>
    <w:rsid w:val="00DD2816"/>
    <w:rsid w:val="00DD3947"/>
    <w:rsid w:val="00DD50E2"/>
    <w:rsid w:val="00DD6527"/>
    <w:rsid w:val="00DE250F"/>
    <w:rsid w:val="00DE32E9"/>
    <w:rsid w:val="00DE4C94"/>
    <w:rsid w:val="00DE617A"/>
    <w:rsid w:val="00DE6194"/>
    <w:rsid w:val="00DF0F64"/>
    <w:rsid w:val="00DF10E3"/>
    <w:rsid w:val="00DF1BDC"/>
    <w:rsid w:val="00DF2AD7"/>
    <w:rsid w:val="00DF2D0D"/>
    <w:rsid w:val="00DF366F"/>
    <w:rsid w:val="00DF3E02"/>
    <w:rsid w:val="00DF45C5"/>
    <w:rsid w:val="00DF4D33"/>
    <w:rsid w:val="00DF5CAD"/>
    <w:rsid w:val="00DF6954"/>
    <w:rsid w:val="00DF6C7C"/>
    <w:rsid w:val="00DF6CDC"/>
    <w:rsid w:val="00E00BEC"/>
    <w:rsid w:val="00E010D3"/>
    <w:rsid w:val="00E0245A"/>
    <w:rsid w:val="00E04ECA"/>
    <w:rsid w:val="00E05082"/>
    <w:rsid w:val="00E05C70"/>
    <w:rsid w:val="00E10190"/>
    <w:rsid w:val="00E11465"/>
    <w:rsid w:val="00E12155"/>
    <w:rsid w:val="00E12801"/>
    <w:rsid w:val="00E15C50"/>
    <w:rsid w:val="00E15DFF"/>
    <w:rsid w:val="00E20F43"/>
    <w:rsid w:val="00E21024"/>
    <w:rsid w:val="00E210CE"/>
    <w:rsid w:val="00E21953"/>
    <w:rsid w:val="00E22363"/>
    <w:rsid w:val="00E2488E"/>
    <w:rsid w:val="00E24F6E"/>
    <w:rsid w:val="00E267B6"/>
    <w:rsid w:val="00E26F98"/>
    <w:rsid w:val="00E273D0"/>
    <w:rsid w:val="00E2782B"/>
    <w:rsid w:val="00E31F1A"/>
    <w:rsid w:val="00E32674"/>
    <w:rsid w:val="00E3280F"/>
    <w:rsid w:val="00E32B2F"/>
    <w:rsid w:val="00E32E44"/>
    <w:rsid w:val="00E33415"/>
    <w:rsid w:val="00E334F2"/>
    <w:rsid w:val="00E33954"/>
    <w:rsid w:val="00E34015"/>
    <w:rsid w:val="00E34582"/>
    <w:rsid w:val="00E3567E"/>
    <w:rsid w:val="00E36036"/>
    <w:rsid w:val="00E36128"/>
    <w:rsid w:val="00E361DE"/>
    <w:rsid w:val="00E368B0"/>
    <w:rsid w:val="00E40A94"/>
    <w:rsid w:val="00E40E26"/>
    <w:rsid w:val="00E42C21"/>
    <w:rsid w:val="00E44F1E"/>
    <w:rsid w:val="00E45E22"/>
    <w:rsid w:val="00E50162"/>
    <w:rsid w:val="00E50480"/>
    <w:rsid w:val="00E52023"/>
    <w:rsid w:val="00E52C37"/>
    <w:rsid w:val="00E53B59"/>
    <w:rsid w:val="00E54934"/>
    <w:rsid w:val="00E558A7"/>
    <w:rsid w:val="00E569DB"/>
    <w:rsid w:val="00E57BC3"/>
    <w:rsid w:val="00E57E60"/>
    <w:rsid w:val="00E60C4F"/>
    <w:rsid w:val="00E62755"/>
    <w:rsid w:val="00E63403"/>
    <w:rsid w:val="00E64C97"/>
    <w:rsid w:val="00E67938"/>
    <w:rsid w:val="00E7113C"/>
    <w:rsid w:val="00E71E6F"/>
    <w:rsid w:val="00E73487"/>
    <w:rsid w:val="00E80BF2"/>
    <w:rsid w:val="00E81168"/>
    <w:rsid w:val="00E81FB0"/>
    <w:rsid w:val="00E821C5"/>
    <w:rsid w:val="00E84E86"/>
    <w:rsid w:val="00E853D6"/>
    <w:rsid w:val="00E864D5"/>
    <w:rsid w:val="00E86868"/>
    <w:rsid w:val="00E86A47"/>
    <w:rsid w:val="00E871B5"/>
    <w:rsid w:val="00E9070D"/>
    <w:rsid w:val="00E92750"/>
    <w:rsid w:val="00E92DE1"/>
    <w:rsid w:val="00E9350D"/>
    <w:rsid w:val="00E9562B"/>
    <w:rsid w:val="00E95E85"/>
    <w:rsid w:val="00E960D9"/>
    <w:rsid w:val="00E973EA"/>
    <w:rsid w:val="00EA0009"/>
    <w:rsid w:val="00EA0081"/>
    <w:rsid w:val="00EA1E66"/>
    <w:rsid w:val="00EA2FDC"/>
    <w:rsid w:val="00EA329E"/>
    <w:rsid w:val="00EA391C"/>
    <w:rsid w:val="00EA4F37"/>
    <w:rsid w:val="00EA52B1"/>
    <w:rsid w:val="00EA66BD"/>
    <w:rsid w:val="00EB06CE"/>
    <w:rsid w:val="00EB25BB"/>
    <w:rsid w:val="00EB3C3F"/>
    <w:rsid w:val="00EB3D94"/>
    <w:rsid w:val="00EB4813"/>
    <w:rsid w:val="00EB492E"/>
    <w:rsid w:val="00EB5350"/>
    <w:rsid w:val="00EB69C6"/>
    <w:rsid w:val="00EC02C3"/>
    <w:rsid w:val="00EC0472"/>
    <w:rsid w:val="00EC1477"/>
    <w:rsid w:val="00EC28FB"/>
    <w:rsid w:val="00EC2EEF"/>
    <w:rsid w:val="00EC3019"/>
    <w:rsid w:val="00EC4BBA"/>
    <w:rsid w:val="00ED1A36"/>
    <w:rsid w:val="00ED2CEA"/>
    <w:rsid w:val="00ED3079"/>
    <w:rsid w:val="00ED32FD"/>
    <w:rsid w:val="00ED4BA6"/>
    <w:rsid w:val="00ED5D53"/>
    <w:rsid w:val="00ED68CA"/>
    <w:rsid w:val="00EE0117"/>
    <w:rsid w:val="00EE244C"/>
    <w:rsid w:val="00EE35AE"/>
    <w:rsid w:val="00EE5E0A"/>
    <w:rsid w:val="00EE73EE"/>
    <w:rsid w:val="00EF1952"/>
    <w:rsid w:val="00EF2543"/>
    <w:rsid w:val="00EF27EC"/>
    <w:rsid w:val="00EF2A97"/>
    <w:rsid w:val="00EF2C7B"/>
    <w:rsid w:val="00EF32FC"/>
    <w:rsid w:val="00EF39B9"/>
    <w:rsid w:val="00EF439B"/>
    <w:rsid w:val="00EF499F"/>
    <w:rsid w:val="00EF4DA4"/>
    <w:rsid w:val="00EF5176"/>
    <w:rsid w:val="00EF5F5E"/>
    <w:rsid w:val="00EF5F62"/>
    <w:rsid w:val="00EF66CD"/>
    <w:rsid w:val="00F006BC"/>
    <w:rsid w:val="00F00F02"/>
    <w:rsid w:val="00F013F7"/>
    <w:rsid w:val="00F014EC"/>
    <w:rsid w:val="00F0174A"/>
    <w:rsid w:val="00F01784"/>
    <w:rsid w:val="00F03260"/>
    <w:rsid w:val="00F03E9A"/>
    <w:rsid w:val="00F07259"/>
    <w:rsid w:val="00F11A01"/>
    <w:rsid w:val="00F125E9"/>
    <w:rsid w:val="00F14C61"/>
    <w:rsid w:val="00F169B7"/>
    <w:rsid w:val="00F17508"/>
    <w:rsid w:val="00F20224"/>
    <w:rsid w:val="00F2195C"/>
    <w:rsid w:val="00F21A76"/>
    <w:rsid w:val="00F22709"/>
    <w:rsid w:val="00F231DD"/>
    <w:rsid w:val="00F24404"/>
    <w:rsid w:val="00F246DA"/>
    <w:rsid w:val="00F25C3D"/>
    <w:rsid w:val="00F30AD3"/>
    <w:rsid w:val="00F30BDF"/>
    <w:rsid w:val="00F31400"/>
    <w:rsid w:val="00F32055"/>
    <w:rsid w:val="00F32959"/>
    <w:rsid w:val="00F346AA"/>
    <w:rsid w:val="00F34FFB"/>
    <w:rsid w:val="00F371CA"/>
    <w:rsid w:val="00F37FC4"/>
    <w:rsid w:val="00F4036D"/>
    <w:rsid w:val="00F412C9"/>
    <w:rsid w:val="00F4151C"/>
    <w:rsid w:val="00F42745"/>
    <w:rsid w:val="00F44ED0"/>
    <w:rsid w:val="00F44F11"/>
    <w:rsid w:val="00F45826"/>
    <w:rsid w:val="00F4631B"/>
    <w:rsid w:val="00F4658D"/>
    <w:rsid w:val="00F470DC"/>
    <w:rsid w:val="00F47F4E"/>
    <w:rsid w:val="00F50C0F"/>
    <w:rsid w:val="00F50FBA"/>
    <w:rsid w:val="00F52D6A"/>
    <w:rsid w:val="00F52F2E"/>
    <w:rsid w:val="00F53220"/>
    <w:rsid w:val="00F53812"/>
    <w:rsid w:val="00F544DF"/>
    <w:rsid w:val="00F56AB1"/>
    <w:rsid w:val="00F579C5"/>
    <w:rsid w:val="00F6073E"/>
    <w:rsid w:val="00F635B7"/>
    <w:rsid w:val="00F64B76"/>
    <w:rsid w:val="00F64D38"/>
    <w:rsid w:val="00F64E76"/>
    <w:rsid w:val="00F64F7C"/>
    <w:rsid w:val="00F6630F"/>
    <w:rsid w:val="00F66A10"/>
    <w:rsid w:val="00F67075"/>
    <w:rsid w:val="00F6799F"/>
    <w:rsid w:val="00F700EF"/>
    <w:rsid w:val="00F70E63"/>
    <w:rsid w:val="00F72B2B"/>
    <w:rsid w:val="00F73208"/>
    <w:rsid w:val="00F73F22"/>
    <w:rsid w:val="00F76FA2"/>
    <w:rsid w:val="00F770F9"/>
    <w:rsid w:val="00F83DC1"/>
    <w:rsid w:val="00F86FAE"/>
    <w:rsid w:val="00F873C4"/>
    <w:rsid w:val="00F954E2"/>
    <w:rsid w:val="00F96537"/>
    <w:rsid w:val="00F97AE7"/>
    <w:rsid w:val="00FA0F9A"/>
    <w:rsid w:val="00FA5BE8"/>
    <w:rsid w:val="00FA70C5"/>
    <w:rsid w:val="00FA7FC8"/>
    <w:rsid w:val="00FB2044"/>
    <w:rsid w:val="00FB284A"/>
    <w:rsid w:val="00FB2E76"/>
    <w:rsid w:val="00FB6462"/>
    <w:rsid w:val="00FC09E1"/>
    <w:rsid w:val="00FC1384"/>
    <w:rsid w:val="00FC3566"/>
    <w:rsid w:val="00FC38BE"/>
    <w:rsid w:val="00FC60BB"/>
    <w:rsid w:val="00FC67D4"/>
    <w:rsid w:val="00FC72F0"/>
    <w:rsid w:val="00FD3D46"/>
    <w:rsid w:val="00FD6C42"/>
    <w:rsid w:val="00FD7891"/>
    <w:rsid w:val="00FE099F"/>
    <w:rsid w:val="00FE1349"/>
    <w:rsid w:val="00FE4454"/>
    <w:rsid w:val="00FE4C71"/>
    <w:rsid w:val="00FF0D99"/>
    <w:rsid w:val="00FF3620"/>
    <w:rsid w:val="00FF5EC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67C160"/>
  <w15:docId w15:val="{17705B74-2DEA-4458-833A-2ABA5FA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886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962635"/>
    <w:rPr>
      <w:rFonts w:ascii="Tahoma" w:hAnsi="Tahoma" w:cs="Tahoma"/>
      <w:sz w:val="16"/>
      <w:szCs w:val="16"/>
    </w:rPr>
  </w:style>
  <w:style w:type="character" w:styleId="a6">
    <w:name w:val="Hyperlink"/>
    <w:rsid w:val="00D3428B"/>
    <w:rPr>
      <w:color w:val="0000FF"/>
      <w:u w:val="single"/>
    </w:rPr>
  </w:style>
  <w:style w:type="paragraph" w:styleId="a7">
    <w:name w:val="Body Text Indent"/>
    <w:basedOn w:val="a"/>
    <w:rsid w:val="00F246DA"/>
    <w:pPr>
      <w:spacing w:after="120"/>
      <w:ind w:left="283"/>
    </w:pPr>
  </w:style>
  <w:style w:type="paragraph" w:styleId="a8">
    <w:name w:val="Body Text"/>
    <w:basedOn w:val="a"/>
    <w:rsid w:val="00A30552"/>
    <w:pPr>
      <w:spacing w:after="120"/>
    </w:pPr>
  </w:style>
  <w:style w:type="paragraph" w:styleId="a9">
    <w:name w:val="header"/>
    <w:basedOn w:val="a"/>
    <w:link w:val="aa"/>
    <w:uiPriority w:val="99"/>
    <w:rsid w:val="00296C46"/>
    <w:pPr>
      <w:tabs>
        <w:tab w:val="center" w:pos="4677"/>
        <w:tab w:val="right" w:pos="9355"/>
      </w:tabs>
    </w:pPr>
  </w:style>
  <w:style w:type="paragraph" w:customStyle="1" w:styleId="ab">
    <w:name w:val="Обычный (веб)"/>
    <w:basedOn w:val="a"/>
    <w:uiPriority w:val="99"/>
    <w:rsid w:val="00D01B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81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26070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D818F9"/>
  </w:style>
  <w:style w:type="character" w:styleId="ac">
    <w:name w:val="Unresolved Mention"/>
    <w:basedOn w:val="a0"/>
    <w:uiPriority w:val="99"/>
    <w:semiHidden/>
    <w:unhideWhenUsed/>
    <w:rsid w:val="00AC1BA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96F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96F99"/>
    <w:rPr>
      <w:b/>
      <w:bCs/>
    </w:rPr>
  </w:style>
  <w:style w:type="paragraph" w:styleId="af">
    <w:name w:val="List Paragraph"/>
    <w:basedOn w:val="a"/>
    <w:uiPriority w:val="34"/>
    <w:qFormat/>
    <w:rsid w:val="00045657"/>
    <w:pPr>
      <w:ind w:left="720"/>
      <w:contextualSpacing/>
    </w:pPr>
  </w:style>
  <w:style w:type="paragraph" w:styleId="af0">
    <w:name w:val="No Spacing"/>
    <w:uiPriority w:val="1"/>
    <w:qFormat/>
    <w:rsid w:val="00F76F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57E6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3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72;&#1090;&#1072;&#1085;&#1080;&#1085;\Documents\&#1053;&#1072;&#1089;&#1090;&#1088;&#1072;&#1080;&#1074;&#1072;&#1077;&#1084;&#1099;&#1077;%20&#1096;&#1072;&#1073;&#1083;&#1086;&#1085;&#1099;%20Office\&#1041;&#1083;&#1072;&#1085;&#1082;%20&#1057;&#1083;&#1091;&#1078;&#1073;&#1099;%20&#1089;%20&#1069;&#1055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092;&#1077;&#1074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092;&#1077;&#1074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092;&#1077;&#1074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57;&#1073;&#1086;&#1088;%20&#1089;&#1088;&#1077;&#1076;&#1085;&#1077;&#1081;%20&#1094;&#1077;&#1085;&#1099;%20&#1044;&#1044;&#1059;%20&#1092;&#1077;&#1074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data\&#1087;&#1072;&#1087;&#1082;&#1080;%20&#1086;&#1090;&#1076;&#1077;&#1083;&#1086;&#1074;\&#1054;&#1090;&#1076;&#1077;&#1083;%20&#1053;&#1044;&#1057;\&#1060;&#1080;&#1085;&#1052;&#1086;&#1085;&#1080;&#1090;&#1086;&#1088;&#1080;&#1085;&#1075;%20(2022%20&#1075;%20&#1089;%20&#1084;&#1072;&#1088;&#1090;&#1072;)\&#1060;&#1080;&#1085;%20&#1084;&#1086;&#1085;&#1080;&#1090;&#1086;&#1088;&#1080;&#1085;&#1075;\2024\&#1044;&#1080;&#1072;&#1075;&#1088;&#1072;&#1084;&#1084;&#1099;\&#1079;&#1072;&#1081;&#1084;&#1099;%20&#1080;%20&#1094;&#1077;&#1085;&#1099;%20&#1044;&#1044;&#1059;%20&#1092;&#1077;&#1074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556650246305417E-2"/>
          <c:y val="0.24843007355284324"/>
          <c:w val="0.94581280788177335"/>
          <c:h val="0.63865126221438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Лист2!$G$71</c:f>
              <c:strCache>
                <c:ptCount val="1"/>
                <c:pt idx="0">
                  <c:v>средн. площадь на 1 ДДУ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Лист2!$F$81:$F$94</c:f>
              <c:strCache>
                <c:ptCount val="14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  <c:pt idx="13">
                  <c:v>02.2024</c:v>
                </c:pt>
              </c:strCache>
            </c:strRef>
          </c:cat>
          <c:val>
            <c:numRef>
              <c:f>Лист2!$G$81:$G$94</c:f>
              <c:numCache>
                <c:formatCode>0.00</c:formatCode>
                <c:ptCount val="14"/>
                <c:pt idx="0">
                  <c:v>54.298216432865715</c:v>
                </c:pt>
                <c:pt idx="1">
                  <c:v>53.14</c:v>
                </c:pt>
                <c:pt idx="2" formatCode="General">
                  <c:v>53.05</c:v>
                </c:pt>
                <c:pt idx="3">
                  <c:v>52.37</c:v>
                </c:pt>
                <c:pt idx="4">
                  <c:v>56.61</c:v>
                </c:pt>
                <c:pt idx="5">
                  <c:v>54.57</c:v>
                </c:pt>
                <c:pt idx="6">
                  <c:v>56.32</c:v>
                </c:pt>
                <c:pt idx="7">
                  <c:v>51.71</c:v>
                </c:pt>
                <c:pt idx="8">
                  <c:v>48.99</c:v>
                </c:pt>
                <c:pt idx="9">
                  <c:v>47.99</c:v>
                </c:pt>
                <c:pt idx="10">
                  <c:v>50.67</c:v>
                </c:pt>
                <c:pt idx="11">
                  <c:v>48.3</c:v>
                </c:pt>
                <c:pt idx="12" formatCode="General">
                  <c:v>46.47</c:v>
                </c:pt>
                <c:pt idx="13">
                  <c:v>47.97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67-47F4-94E9-B3A8A5FAAA6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153856"/>
        <c:axId val="108160896"/>
      </c:barChart>
      <c:catAx>
        <c:axId val="1081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60896"/>
        <c:crosses val="autoZero"/>
        <c:auto val="1"/>
        <c:lblAlgn val="ctr"/>
        <c:lblOffset val="100"/>
        <c:noMultiLvlLbl val="0"/>
      </c:catAx>
      <c:valAx>
        <c:axId val="10816089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0815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84841075794622E-2"/>
          <c:y val="0.18110347122102696"/>
          <c:w val="0.83061679790026244"/>
          <c:h val="0.6835870175603805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Лист2!$E$1</c:f>
              <c:strCache>
                <c:ptCount val="1"/>
                <c:pt idx="0">
                  <c:v>количество ДДУ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2660902977905859E-2"/>
                  <c:y val="9.121619195142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25-4652-AD8B-9A20AB86A2DD}"/>
                </c:ext>
              </c:extLst>
            </c:dLbl>
            <c:dLbl>
              <c:idx val="1"/>
              <c:layout>
                <c:manualLayout>
                  <c:x val="3.4582132564841501E-2"/>
                  <c:y val="9.45945694311103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25-4652-AD8B-9A20AB86A2DD}"/>
                </c:ext>
              </c:extLst>
            </c:dLbl>
            <c:dLbl>
              <c:idx val="2"/>
              <c:layout>
                <c:manualLayout>
                  <c:x val="3.266090297790579E-2"/>
                  <c:y val="8.7837814471745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25-4652-AD8B-9A20AB86A2DD}"/>
                </c:ext>
              </c:extLst>
            </c:dLbl>
            <c:dLbl>
              <c:idx val="3"/>
              <c:layout>
                <c:manualLayout>
                  <c:x val="3.2660902977905859E-2"/>
                  <c:y val="8.445943699206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25-4652-AD8B-9A20AB86A2DD}"/>
                </c:ext>
              </c:extLst>
            </c:dLbl>
            <c:dLbl>
              <c:idx val="4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25-4652-AD8B-9A20AB86A2DD}"/>
                </c:ext>
              </c:extLst>
            </c:dLbl>
            <c:dLbl>
              <c:idx val="5"/>
              <c:layout>
                <c:manualLayout>
                  <c:x val="3.266090297790579E-2"/>
                  <c:y val="0.1148648343092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25-4652-AD8B-9A20AB86A2DD}"/>
                </c:ext>
              </c:extLst>
            </c:dLbl>
            <c:dLbl>
              <c:idx val="6"/>
              <c:layout>
                <c:manualLayout>
                  <c:x val="3.266090297790579E-2"/>
                  <c:y val="0.141891854146665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25-4652-AD8B-9A20AB86A2DD}"/>
                </c:ext>
              </c:extLst>
            </c:dLbl>
            <c:dLbl>
              <c:idx val="7"/>
              <c:layout>
                <c:manualLayout>
                  <c:x val="3.2660902977905859E-2"/>
                  <c:y val="0.145270231626348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25-4652-AD8B-9A20AB86A2DD}"/>
                </c:ext>
              </c:extLst>
            </c:dLbl>
            <c:dLbl>
              <c:idx val="8"/>
              <c:layout>
                <c:manualLayout>
                  <c:x val="3.4582132564841356E-2"/>
                  <c:y val="0.158783741545078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925-4652-AD8B-9A20AB86A2DD}"/>
                </c:ext>
              </c:extLst>
            </c:dLbl>
            <c:dLbl>
              <c:idx val="9"/>
              <c:layout>
                <c:manualLayout>
                  <c:x val="2.4975984630163303E-2"/>
                  <c:y val="9.7972946910793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25-4652-AD8B-9A20AB86A2DD}"/>
                </c:ext>
              </c:extLst>
            </c:dLbl>
            <c:dLbl>
              <c:idx val="10"/>
              <c:layout>
                <c:manualLayout>
                  <c:x val="2.5770999306009311E-2"/>
                  <c:y val="8.48972951898576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25-4652-AD8B-9A20AB86A2DD}"/>
                </c:ext>
              </c:extLst>
            </c:dLbl>
            <c:dLbl>
              <c:idx val="11"/>
              <c:layout>
                <c:manualLayout>
                  <c:x val="2.7986511307638823E-2"/>
                  <c:y val="0.180314678912005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25-4652-AD8B-9A20AB86A2DD}"/>
                </c:ext>
              </c:extLst>
            </c:dLbl>
            <c:dLbl>
              <c:idx val="12"/>
              <c:layout>
                <c:manualLayout>
                  <c:x val="2.514432328415651E-2"/>
                  <c:y val="0.13463214683137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925-4652-AD8B-9A20AB86A2DD}"/>
                </c:ext>
              </c:extLst>
            </c:dLbl>
            <c:dLbl>
              <c:idx val="13"/>
              <c:layout>
                <c:manualLayout>
                  <c:x val="2.1381227282445854E-2"/>
                  <c:y val="7.1556350626118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925-4652-AD8B-9A20AB86A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Лист2!$A$11:$A$24</c:f>
              <c:strCache>
                <c:ptCount val="14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  <c:pt idx="13">
                  <c:v>02.2024</c:v>
                </c:pt>
              </c:strCache>
            </c:strRef>
          </c:cat>
          <c:val>
            <c:numRef>
              <c:f>Лист2!$B$81:$B$94</c:f>
              <c:numCache>
                <c:formatCode>General</c:formatCode>
                <c:ptCount val="14"/>
                <c:pt idx="0" formatCode="0">
                  <c:v>499</c:v>
                </c:pt>
                <c:pt idx="1">
                  <c:v>540</c:v>
                </c:pt>
                <c:pt idx="2">
                  <c:v>973</c:v>
                </c:pt>
                <c:pt idx="3">
                  <c:v>856</c:v>
                </c:pt>
                <c:pt idx="4">
                  <c:v>960</c:v>
                </c:pt>
                <c:pt idx="5">
                  <c:v>994</c:v>
                </c:pt>
                <c:pt idx="6" formatCode="#,##0">
                  <c:v>1169</c:v>
                </c:pt>
                <c:pt idx="7" formatCode="#,##0">
                  <c:v>1460</c:v>
                </c:pt>
                <c:pt idx="8">
                  <c:v>1738</c:v>
                </c:pt>
                <c:pt idx="9">
                  <c:v>1487</c:v>
                </c:pt>
                <c:pt idx="10">
                  <c:v>1168</c:v>
                </c:pt>
                <c:pt idx="11">
                  <c:v>1086</c:v>
                </c:pt>
                <c:pt idx="12">
                  <c:v>707</c:v>
                </c:pt>
                <c:pt idx="13" formatCode="#,##0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925-4652-AD8B-9A20AB86A2D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8298624"/>
        <c:axId val="108300160"/>
      </c:barChart>
      <c:lineChart>
        <c:grouping val="standard"/>
        <c:varyColors val="0"/>
        <c:ser>
          <c:idx val="0"/>
          <c:order val="1"/>
          <c:tx>
            <c:strRef>
              <c:f>Лист2!$B$1</c:f>
              <c:strCache>
                <c:ptCount val="1"/>
                <c:pt idx="0">
                  <c:v>продано кв.м.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7728259471888799E-2"/>
                  <c:y val="-9.9636864323030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925-4652-AD8B-9A20AB86A2DD}"/>
                </c:ext>
              </c:extLst>
            </c:dLbl>
            <c:dLbl>
              <c:idx val="5"/>
              <c:layout>
                <c:manualLayout>
                  <c:x val="-3.3885800298017577E-2"/>
                  <c:y val="-0.1063936192823953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925-4652-AD8B-9A20AB86A2DD}"/>
                </c:ext>
              </c:extLst>
            </c:dLbl>
            <c:dLbl>
              <c:idx val="7"/>
              <c:layout>
                <c:manualLayout>
                  <c:x val="-2.6710540271625841E-2"/>
                  <c:y val="-8.457059146676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925-4652-AD8B-9A20AB86A2DD}"/>
                </c:ext>
              </c:extLst>
            </c:dLbl>
            <c:dLbl>
              <c:idx val="8"/>
              <c:layout>
                <c:manualLayout>
                  <c:x val="-3.0074050541967239E-4"/>
                  <c:y val="-4.4239986103429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925-4652-AD8B-9A20AB86A2DD}"/>
                </c:ext>
              </c:extLst>
            </c:dLbl>
            <c:dLbl>
              <c:idx val="9"/>
              <c:layout>
                <c:manualLayout>
                  <c:x val="-2.2215313863865001E-2"/>
                  <c:y val="-0.104270561749690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925-4652-AD8B-9A20AB86A2DD}"/>
                </c:ext>
              </c:extLst>
            </c:dLbl>
            <c:dLbl>
              <c:idx val="10"/>
              <c:layout>
                <c:manualLayout>
                  <c:x val="-3.6228419324596896E-2"/>
                  <c:y val="-0.15510867371319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925-4652-AD8B-9A20AB86A2DD}"/>
                </c:ext>
              </c:extLst>
            </c:dLbl>
            <c:dLbl>
              <c:idx val="13"/>
              <c:layout>
                <c:manualLayout>
                  <c:x val="-2.6710540271625765E-2"/>
                  <c:y val="-0.141815671967658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0925-4652-AD8B-9A20AB86A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Лист2!$A$2:$A$19</c:f>
              <c:strCache>
                <c:ptCount val="9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</c:strCache>
            </c:strRef>
          </c:cat>
          <c:val>
            <c:numRef>
              <c:f>Лист2!$B$11:$B$24</c:f>
              <c:numCache>
                <c:formatCode>#,##0.00</c:formatCode>
                <c:ptCount val="14"/>
                <c:pt idx="0">
                  <c:v>27094.80999999999</c:v>
                </c:pt>
                <c:pt idx="1">
                  <c:v>28693.170000000006</c:v>
                </c:pt>
                <c:pt idx="2">
                  <c:v>51617.960000000006</c:v>
                </c:pt>
                <c:pt idx="3">
                  <c:v>44829.490000000005</c:v>
                </c:pt>
                <c:pt idx="4">
                  <c:v>54340.97</c:v>
                </c:pt>
                <c:pt idx="5">
                  <c:v>51513.12000000001</c:v>
                </c:pt>
                <c:pt idx="6">
                  <c:v>65834.600000000006</c:v>
                </c:pt>
                <c:pt idx="7">
                  <c:v>75490.039999999994</c:v>
                </c:pt>
                <c:pt idx="8">
                  <c:v>85139.049999999974</c:v>
                </c:pt>
                <c:pt idx="9">
                  <c:v>71366.640000000043</c:v>
                </c:pt>
                <c:pt idx="10">
                  <c:v>59182.939999999988</c:v>
                </c:pt>
                <c:pt idx="11" formatCode="General">
                  <c:v>52457.790000000008</c:v>
                </c:pt>
                <c:pt idx="12">
                  <c:v>32852</c:v>
                </c:pt>
                <c:pt idx="13">
                  <c:v>22255.869999999984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925-4652-AD8B-9A20AB86A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28064"/>
        <c:axId val="108301696"/>
      </c:lineChart>
      <c:catAx>
        <c:axId val="1082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300160"/>
        <c:crosses val="autoZero"/>
        <c:auto val="1"/>
        <c:lblAlgn val="ctr"/>
        <c:lblOffset val="100"/>
        <c:noMultiLvlLbl val="0"/>
      </c:catAx>
      <c:valAx>
        <c:axId val="1083001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08298624"/>
        <c:crosses val="autoZero"/>
        <c:crossBetween val="between"/>
      </c:valAx>
      <c:valAx>
        <c:axId val="108301696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crossAx val="108328064"/>
        <c:crosses val="max"/>
        <c:crossBetween val="between"/>
      </c:valAx>
      <c:catAx>
        <c:axId val="108328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301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963399379439343E-2"/>
          <c:y val="4.2079078218979334E-2"/>
          <c:w val="0.67715676816857151"/>
          <c:h val="4.8544723660154596E-2"/>
        </c:manualLayout>
      </c:layout>
      <c:overlay val="0"/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83046683046681E-2"/>
          <c:y val="0.23962321255127872"/>
          <c:w val="0.92628992628992624"/>
          <c:h val="0.64329076588943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Лист2!$J$35</c:f>
              <c:strCache>
                <c:ptCount val="1"/>
                <c:pt idx="0">
                  <c:v>Средняя стоимость кв.м.,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Лист2!$I$45:$I$58</c:f>
              <c:strCache>
                <c:ptCount val="14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  <c:pt idx="13">
                  <c:v>02.2024</c:v>
                </c:pt>
              </c:strCache>
            </c:strRef>
          </c:cat>
          <c:val>
            <c:numRef>
              <c:f>Лист2!$J$45:$J$58</c:f>
              <c:numCache>
                <c:formatCode>#,##0.00</c:formatCode>
                <c:ptCount val="14"/>
                <c:pt idx="0">
                  <c:v>101911.78880014295</c:v>
                </c:pt>
                <c:pt idx="1">
                  <c:v>100865.13611706198</c:v>
                </c:pt>
                <c:pt idx="2">
                  <c:v>101996.69828815396</c:v>
                </c:pt>
                <c:pt idx="3">
                  <c:v>104016.47695077503</c:v>
                </c:pt>
                <c:pt idx="4">
                  <c:v>105044.7650969425</c:v>
                </c:pt>
                <c:pt idx="5">
                  <c:v>102770.44166010521</c:v>
                </c:pt>
                <c:pt idx="6">
                  <c:v>112073.94958532442</c:v>
                </c:pt>
                <c:pt idx="7">
                  <c:v>109210.12872797524</c:v>
                </c:pt>
                <c:pt idx="8">
                  <c:v>114546.70832408869</c:v>
                </c:pt>
                <c:pt idx="9">
                  <c:v>110620.55948364663</c:v>
                </c:pt>
                <c:pt idx="10">
                  <c:v>118651.5863465046</c:v>
                </c:pt>
                <c:pt idx="11">
                  <c:v>117686.1393705301</c:v>
                </c:pt>
                <c:pt idx="12">
                  <c:v>120393.22453857952</c:v>
                </c:pt>
                <c:pt idx="13">
                  <c:v>120682.3291208118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7-45A6-8517-335906216D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935232"/>
        <c:axId val="108425600"/>
      </c:barChart>
      <c:catAx>
        <c:axId val="10793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25600"/>
        <c:crosses val="autoZero"/>
        <c:auto val="1"/>
        <c:lblAlgn val="ctr"/>
        <c:lblOffset val="100"/>
        <c:noMultiLvlLbl val="0"/>
      </c:catAx>
      <c:valAx>
        <c:axId val="108425600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793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251256281407038E-2"/>
          <c:y val="0.1876116017286677"/>
          <c:w val="0.91708542713567842"/>
          <c:h val="0.68858217264440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Лист2!$G$35</c:f>
              <c:strCache>
                <c:ptCount val="1"/>
                <c:pt idx="0">
                  <c:v>Сумма цен ДДУ, руб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 algn="ctr">
                    <a:defRPr lang="ru-RU" sz="900" b="1" i="0" u="none" strike="noStrike" kern="1200" baseline="0">
                      <a:solidFill>
                        <a:srgbClr val="4F81BD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1D1-4159-8786-0C23B4BE79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Лист2!$F$45:$F$58</c:f>
              <c:strCache>
                <c:ptCount val="14"/>
                <c:pt idx="0">
                  <c:v>01.2023</c:v>
                </c:pt>
                <c:pt idx="1">
                  <c:v>02.2023</c:v>
                </c:pt>
                <c:pt idx="2">
                  <c:v>03.2023</c:v>
                </c:pt>
                <c:pt idx="3">
                  <c:v>04.2023</c:v>
                </c:pt>
                <c:pt idx="4">
                  <c:v>05.2023</c:v>
                </c:pt>
                <c:pt idx="5">
                  <c:v>06.2023</c:v>
                </c:pt>
                <c:pt idx="6">
                  <c:v>07.2023</c:v>
                </c:pt>
                <c:pt idx="7">
                  <c:v>08.2023</c:v>
                </c:pt>
                <c:pt idx="8">
                  <c:v>09.2023</c:v>
                </c:pt>
                <c:pt idx="9">
                  <c:v>10.2023</c:v>
                </c:pt>
                <c:pt idx="10">
                  <c:v>11.2023</c:v>
                </c:pt>
                <c:pt idx="11">
                  <c:v>12.2023</c:v>
                </c:pt>
                <c:pt idx="12">
                  <c:v>01.2024</c:v>
                </c:pt>
                <c:pt idx="13">
                  <c:v>02.2024</c:v>
                </c:pt>
              </c:strCache>
            </c:strRef>
          </c:cat>
          <c:val>
            <c:numRef>
              <c:f>Лист2!$C$45:$C$58</c:f>
              <c:numCache>
                <c:formatCode>#,##0.00</c:formatCode>
                <c:ptCount val="14"/>
                <c:pt idx="0">
                  <c:v>2761280554.3000002</c:v>
                </c:pt>
                <c:pt idx="1">
                  <c:v>2894140497.6799998</c:v>
                </c:pt>
                <c:pt idx="2">
                  <c:v>5264861492.3699999</c:v>
                </c:pt>
                <c:pt idx="3">
                  <c:v>4663005613.3000002</c:v>
                </c:pt>
                <c:pt idx="4">
                  <c:v>5708234428.79</c:v>
                </c:pt>
                <c:pt idx="5">
                  <c:v>5294026093.6899996</c:v>
                </c:pt>
                <c:pt idx="6">
                  <c:v>7378343641.3699989</c:v>
                </c:pt>
                <c:pt idx="7">
                  <c:v>8244276986.0799999</c:v>
                </c:pt>
                <c:pt idx="8">
                  <c:v>9752397927.3400002</c:v>
                </c:pt>
                <c:pt idx="9">
                  <c:v>7905492801.0800009</c:v>
                </c:pt>
                <c:pt idx="10">
                  <c:v>7022149715.6499996</c:v>
                </c:pt>
                <c:pt idx="11">
                  <c:v>6173554785.0100012</c:v>
                </c:pt>
                <c:pt idx="12">
                  <c:v>3955200350.1700001</c:v>
                </c:pt>
                <c:pt idx="13">
                  <c:v>2685890228.21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D1-4159-8786-0C23B4BE79E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916672"/>
        <c:axId val="107919616"/>
      </c:barChart>
      <c:catAx>
        <c:axId val="1079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19616"/>
        <c:crosses val="autoZero"/>
        <c:auto val="1"/>
        <c:lblAlgn val="ctr"/>
        <c:lblOffset val="100"/>
        <c:noMultiLvlLbl val="0"/>
      </c:catAx>
      <c:valAx>
        <c:axId val="107919616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79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Соотношение суммы взятых застройщиками на строительство МКД кредитов и совокупной цены ДДУ, заключенных застройщикам в отношении МКД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14154372460979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2058843831179217E-2"/>
          <c:y val="0.2674570429512873"/>
          <c:w val="0.97643081657769049"/>
          <c:h val="0.66962089004050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'ян янв Привлеч и кредитн СТ (2)'!$D$2</c:f>
              <c:strCache>
                <c:ptCount val="1"/>
                <c:pt idx="0">
                  <c:v>Суммарный размер кредитных обязательств (млрд.руб)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'ян янв Привлеч и кредитн СТ (2)'!$B$3:$B$16</c:f>
              <c:numCache>
                <c:formatCode>m/d/yyyy</c:formatCode>
                <c:ptCount val="14"/>
                <c:pt idx="0">
                  <c:v>44958</c:v>
                </c:pt>
                <c:pt idx="1">
                  <c:v>45352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  <c:pt idx="13">
                  <c:v>45352</c:v>
                </c:pt>
              </c:numCache>
            </c:numRef>
          </c:cat>
          <c:val>
            <c:numRef>
              <c:f>'ян янв Привлеч и кредитн СТ (2)'!$C$3:$C$16</c:f>
              <c:numCache>
                <c:formatCode>#,##0.00</c:formatCode>
                <c:ptCount val="14"/>
                <c:pt idx="0">
                  <c:v>35.255170025459996</c:v>
                </c:pt>
                <c:pt idx="1">
                  <c:v>37.976658080439996</c:v>
                </c:pt>
                <c:pt idx="2">
                  <c:v>40.34891466917</c:v>
                </c:pt>
                <c:pt idx="3">
                  <c:v>43.508580724589997</c:v>
                </c:pt>
                <c:pt idx="4">
                  <c:v>45.793543092909999</c:v>
                </c:pt>
                <c:pt idx="5">
                  <c:v>49.67</c:v>
                </c:pt>
                <c:pt idx="6">
                  <c:v>57.32</c:v>
                </c:pt>
                <c:pt idx="7">
                  <c:v>65.912412947929994</c:v>
                </c:pt>
                <c:pt idx="8">
                  <c:v>68.02</c:v>
                </c:pt>
                <c:pt idx="9">
                  <c:v>63.33</c:v>
                </c:pt>
                <c:pt idx="10">
                  <c:v>64.28</c:v>
                </c:pt>
                <c:pt idx="11">
                  <c:v>58.12</c:v>
                </c:pt>
                <c:pt idx="12">
                  <c:v>58.935872077239999</c:v>
                </c:pt>
                <c:pt idx="13">
                  <c:v>58.235382149449997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04-4E70-88C3-880782E8D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13376"/>
        <c:axId val="128619264"/>
      </c:barChart>
      <c:lineChart>
        <c:grouping val="standard"/>
        <c:varyColors val="0"/>
        <c:ser>
          <c:idx val="1"/>
          <c:order val="1"/>
          <c:tx>
            <c:strRef>
              <c:f>'ян янв Привлеч и кредитн СТ (2)'!$C$2</c:f>
              <c:strCache>
                <c:ptCount val="1"/>
                <c:pt idx="0">
                  <c:v>Суммарный размер привлеченных средств по ДДУ (млрд.руб)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'ян янв Привлеч и кредитн СТ (2)'!$B$3:$B$16</c:f>
              <c:numCache>
                <c:formatCode>m/d/yyyy</c:formatCode>
                <c:ptCount val="14"/>
                <c:pt idx="0">
                  <c:v>44958</c:v>
                </c:pt>
                <c:pt idx="1">
                  <c:v>45352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  <c:pt idx="13">
                  <c:v>45352</c:v>
                </c:pt>
              </c:numCache>
            </c:numRef>
          </c:cat>
          <c:val>
            <c:numRef>
              <c:f>'ян янв Привлеч и кредитн СТ (2)'!$D$3:$D$16</c:f>
              <c:numCache>
                <c:formatCode>#,##0.00</c:formatCode>
                <c:ptCount val="14"/>
                <c:pt idx="0">
                  <c:v>76.299292500000007</c:v>
                </c:pt>
                <c:pt idx="1">
                  <c:v>82.603230293979991</c:v>
                </c:pt>
                <c:pt idx="2">
                  <c:v>84.003391563989993</c:v>
                </c:pt>
                <c:pt idx="3">
                  <c:v>87.040359587989997</c:v>
                </c:pt>
                <c:pt idx="4">
                  <c:v>82.704173656539993</c:v>
                </c:pt>
                <c:pt idx="5">
                  <c:v>86.127648131729984</c:v>
                </c:pt>
                <c:pt idx="6">
                  <c:v>96.430476050729979</c:v>
                </c:pt>
                <c:pt idx="7">
                  <c:v>97.216562476059991</c:v>
                </c:pt>
                <c:pt idx="8">
                  <c:v>101.19278687206</c:v>
                </c:pt>
                <c:pt idx="9">
                  <c:v>101.67188460894998</c:v>
                </c:pt>
                <c:pt idx="10">
                  <c:v>113.86309495859999</c:v>
                </c:pt>
                <c:pt idx="11">
                  <c:v>119.46606516132</c:v>
                </c:pt>
                <c:pt idx="12">
                  <c:v>114.95901272462</c:v>
                </c:pt>
                <c:pt idx="13">
                  <c:v>113.42979408322999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04-4E70-88C3-880782E8D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13376"/>
        <c:axId val="128619264"/>
      </c:lineChart>
      <c:catAx>
        <c:axId val="12861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19264"/>
        <c:crosses val="autoZero"/>
        <c:auto val="0"/>
        <c:lblAlgn val="ctr"/>
        <c:lblOffset val="100"/>
        <c:tickLblSkip val="1"/>
        <c:noMultiLvlLbl val="1"/>
      </c:catAx>
      <c:valAx>
        <c:axId val="1286192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crossAx val="128613376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1654368252076253"/>
          <c:y val="0.15088585535869881"/>
          <c:w val="0.5626363895019858"/>
          <c:h val="9.3668998607239151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alpha val="9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9E53922-7210-4CB3-9522-4B101D3D9EA7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Службы с ЭП.dotx</Template>
  <TotalTime>26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Матанин Андрей Юрьевич</dc:creator>
  <cp:keywords/>
  <dc:description/>
  <cp:lastModifiedBy>Матанин Андрей Юрьевич</cp:lastModifiedBy>
  <cp:revision>5</cp:revision>
  <cp:lastPrinted>2024-03-14T05:04:00Z</cp:lastPrinted>
  <dcterms:created xsi:type="dcterms:W3CDTF">2024-03-19T09:49:00Z</dcterms:created>
  <dcterms:modified xsi:type="dcterms:W3CDTF">2024-03-19T10:15:00Z</dcterms:modified>
</cp:coreProperties>
</file>